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55" w:rsidRDefault="00CA2D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2D55" w:rsidRDefault="00CA2D55">
      <w:pPr>
        <w:pStyle w:val="ConsPlusNormal"/>
        <w:jc w:val="both"/>
        <w:outlineLvl w:val="0"/>
      </w:pPr>
    </w:p>
    <w:p w:rsidR="00CA2D55" w:rsidRDefault="00CA2D55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CA2D55" w:rsidRDefault="00CA2D55">
      <w:pPr>
        <w:pStyle w:val="ConsPlusTitle"/>
        <w:jc w:val="center"/>
      </w:pPr>
      <w:r>
        <w:t>ОБОРОНЫ, ЧРЕЗВЫЧАЙНЫМ СИТУАЦИЯМ И ЛИКВИДАЦИИ</w:t>
      </w:r>
    </w:p>
    <w:p w:rsidR="00CA2D55" w:rsidRDefault="00CA2D55">
      <w:pPr>
        <w:pStyle w:val="ConsPlusTitle"/>
        <w:jc w:val="center"/>
      </w:pPr>
      <w:r>
        <w:t>ПОСЛЕДСТВИЙ СТИХИЙНЫХ БЕДСТВИЙ</w:t>
      </w:r>
    </w:p>
    <w:p w:rsidR="00CA2D55" w:rsidRDefault="00CA2D55">
      <w:pPr>
        <w:pStyle w:val="ConsPlusTitle"/>
        <w:jc w:val="center"/>
      </w:pPr>
    </w:p>
    <w:p w:rsidR="00CA2D55" w:rsidRDefault="00CA2D55">
      <w:pPr>
        <w:pStyle w:val="ConsPlusTitle"/>
        <w:jc w:val="center"/>
      </w:pPr>
      <w:r>
        <w:t>ПРИКАЗ</w:t>
      </w:r>
    </w:p>
    <w:p w:rsidR="00CA2D55" w:rsidRDefault="00CA2D55">
      <w:pPr>
        <w:pStyle w:val="ConsPlusTitle"/>
        <w:jc w:val="center"/>
      </w:pPr>
      <w:r>
        <w:t>от 20 июля 2020 г. N 539</w:t>
      </w:r>
    </w:p>
    <w:p w:rsidR="00CA2D55" w:rsidRDefault="00CA2D55">
      <w:pPr>
        <w:pStyle w:val="ConsPlusTitle"/>
        <w:jc w:val="center"/>
      </w:pPr>
    </w:p>
    <w:p w:rsidR="00CA2D55" w:rsidRDefault="00CA2D55">
      <w:pPr>
        <w:pStyle w:val="ConsPlusTitle"/>
        <w:jc w:val="center"/>
      </w:pPr>
      <w:r>
        <w:t>ОБ УТВЕРЖДЕНИИ СВОДА ПРАВИЛ</w:t>
      </w:r>
    </w:p>
    <w:p w:rsidR="00CA2D55" w:rsidRDefault="00CA2D55">
      <w:pPr>
        <w:pStyle w:val="ConsPlusTitle"/>
        <w:jc w:val="center"/>
      </w:pPr>
      <w:r>
        <w:t>"СИСТЕМЫ ПРОТИВОПОЖАРНОЙ ЗАЩИТЫ. ПЕРЕЧЕНЬ ЗДАНИЙ,</w:t>
      </w:r>
    </w:p>
    <w:p w:rsidR="00CA2D55" w:rsidRDefault="00CA2D55">
      <w:pPr>
        <w:pStyle w:val="ConsPlusTitle"/>
        <w:jc w:val="center"/>
      </w:pPr>
      <w:r>
        <w:t>СООРУЖЕНИЙ, ПОМЕЩЕНИЙ И ОБОРУДОВАНИЯ, ПОДЛЕЖАЩИХ ЗАЩИТЕ</w:t>
      </w:r>
    </w:p>
    <w:p w:rsidR="00CA2D55" w:rsidRDefault="00CA2D55">
      <w:pPr>
        <w:pStyle w:val="ConsPlusTitle"/>
        <w:jc w:val="center"/>
      </w:pPr>
      <w:r>
        <w:t>АВТОМАТИЧЕСКИМИ УСТАНОВКАМИ ПОЖАРОТУШЕНИЯ И СИСТЕМАМИ</w:t>
      </w:r>
    </w:p>
    <w:p w:rsidR="00CA2D55" w:rsidRDefault="00CA2D55">
      <w:pPr>
        <w:pStyle w:val="ConsPlusTitle"/>
        <w:jc w:val="center"/>
      </w:pPr>
      <w:r>
        <w:t>ПОЖАРНОЙ СИГНАЛИЗАЦИИ. ТРЕБОВАНИЙ ПОЖАРНОЙ БЕЗОПАСНОСТИ"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 июля 2008 г. N 123-ФЗ "Технический регламент о требованиях пожарной безопасности" &lt;1&gt;,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&lt;2&gt;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624 "Об утверждении Правил разработки, утверждения, опубликования, изменения и отмены сводов правил" &lt;3&gt; приказываю: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30, ст. 3579; 2018, N 53, ст. 8464.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2004, N 28, ст. 2882; 2020, N 1, ст. 7.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2016, N 28, ст. 4749; 2019, N 23, ст. 2942.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ind w:firstLine="540"/>
        <w:jc w:val="both"/>
      </w:pPr>
      <w:r>
        <w:t xml:space="preserve">Утвердить и ввести в действие с 1 марта 2021 г. прилагаемый </w:t>
      </w:r>
      <w:hyperlink w:anchor="P37" w:history="1">
        <w:r>
          <w:rPr>
            <w:color w:val="0000FF"/>
          </w:rPr>
          <w:t>свод правил</w:t>
        </w:r>
      </w:hyperlink>
      <w:r>
        <w:t xml:space="preserve">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безопасности".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jc w:val="right"/>
      </w:pPr>
      <w:r>
        <w:t>Министр</w:t>
      </w:r>
    </w:p>
    <w:p w:rsidR="00CA2D55" w:rsidRDefault="00CA2D55">
      <w:pPr>
        <w:pStyle w:val="ConsPlusNormal"/>
        <w:jc w:val="right"/>
      </w:pPr>
      <w:r>
        <w:t>Е.Н.ЗИНИЧЕВ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jc w:val="right"/>
        <w:outlineLvl w:val="0"/>
      </w:pPr>
      <w:r>
        <w:t>Утвержден</w:t>
      </w:r>
    </w:p>
    <w:p w:rsidR="00CA2D55" w:rsidRDefault="00CA2D55">
      <w:pPr>
        <w:pStyle w:val="ConsPlusNormal"/>
        <w:jc w:val="right"/>
      </w:pPr>
      <w:r>
        <w:t>приказом МЧС России</w:t>
      </w:r>
    </w:p>
    <w:p w:rsidR="00CA2D55" w:rsidRDefault="00CA2D55">
      <w:pPr>
        <w:pStyle w:val="ConsPlusNormal"/>
        <w:jc w:val="right"/>
      </w:pPr>
      <w:r>
        <w:t>от 20.07.2020 N 539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CA2D55" w:rsidRDefault="00CA2D55">
      <w:pPr>
        <w:pStyle w:val="ConsPlusTitle"/>
        <w:jc w:val="center"/>
      </w:pPr>
      <w:r>
        <w:t>ОБОРОНЫ, ЧРЕЗВЫЧАЙНЫМ СИТУАЦИЯМ И ЛИКВИДАЦИИ</w:t>
      </w:r>
    </w:p>
    <w:p w:rsidR="00CA2D55" w:rsidRDefault="00CA2D55">
      <w:pPr>
        <w:pStyle w:val="ConsPlusTitle"/>
        <w:jc w:val="center"/>
      </w:pPr>
      <w:r>
        <w:t>ПОСЛЕДСТВИЙ СТИХИЙНЫХ БЕДСТВИЙ</w:t>
      </w:r>
    </w:p>
    <w:p w:rsidR="00CA2D55" w:rsidRDefault="00CA2D55">
      <w:pPr>
        <w:pStyle w:val="ConsPlusTitle"/>
        <w:jc w:val="center"/>
      </w:pPr>
    </w:p>
    <w:p w:rsidR="00CA2D55" w:rsidRDefault="00CA2D55">
      <w:pPr>
        <w:pStyle w:val="ConsPlusTitle"/>
        <w:jc w:val="center"/>
      </w:pPr>
      <w:bookmarkStart w:id="0" w:name="P37"/>
      <w:bookmarkEnd w:id="0"/>
      <w:r>
        <w:t>СВОД ПРАВИЛ</w:t>
      </w:r>
    </w:p>
    <w:p w:rsidR="00CA2D55" w:rsidRDefault="00CA2D55">
      <w:pPr>
        <w:pStyle w:val="ConsPlusTitle"/>
        <w:jc w:val="center"/>
      </w:pPr>
      <w:r>
        <w:t>СП 486.1311500.2020</w:t>
      </w:r>
    </w:p>
    <w:p w:rsidR="00CA2D55" w:rsidRDefault="00CA2D55">
      <w:pPr>
        <w:pStyle w:val="ConsPlusTitle"/>
        <w:jc w:val="center"/>
      </w:pPr>
    </w:p>
    <w:p w:rsidR="00CA2D55" w:rsidRDefault="00CA2D55">
      <w:pPr>
        <w:pStyle w:val="ConsPlusTitle"/>
        <w:jc w:val="center"/>
      </w:pPr>
      <w:r>
        <w:t>СИСТЕМЫ ПРОТИВОПОЖАРНОЙ ЗАЩИТЫ</w:t>
      </w:r>
    </w:p>
    <w:p w:rsidR="00CA2D55" w:rsidRDefault="00CA2D55">
      <w:pPr>
        <w:pStyle w:val="ConsPlusTitle"/>
        <w:jc w:val="center"/>
      </w:pPr>
    </w:p>
    <w:p w:rsidR="00CA2D55" w:rsidRDefault="00CA2D55">
      <w:pPr>
        <w:pStyle w:val="ConsPlusTitle"/>
        <w:jc w:val="center"/>
      </w:pPr>
      <w:r>
        <w:t>ПЕРЕЧЕНЬ</w:t>
      </w:r>
    </w:p>
    <w:p w:rsidR="00CA2D55" w:rsidRDefault="00CA2D55">
      <w:pPr>
        <w:pStyle w:val="ConsPlusTitle"/>
        <w:jc w:val="center"/>
      </w:pPr>
      <w:r>
        <w:t>ЗДАНИЙ, СООРУЖЕНИЙ, ПОМЕЩЕНИЙ И ОБОРУДОВАНИЯ, ПОДЛЕЖАЩИХ</w:t>
      </w:r>
    </w:p>
    <w:p w:rsidR="00CA2D55" w:rsidRDefault="00CA2D55">
      <w:pPr>
        <w:pStyle w:val="ConsPlusTitle"/>
        <w:jc w:val="center"/>
      </w:pPr>
      <w:r>
        <w:t>ЗАЩИТЕ АВТОМАТИЧЕСКИМИ УСТАНОВКАМИ ПОЖАРОТУШЕНИЯ</w:t>
      </w:r>
    </w:p>
    <w:p w:rsidR="00CA2D55" w:rsidRDefault="00CA2D55">
      <w:pPr>
        <w:pStyle w:val="ConsPlusTitle"/>
        <w:jc w:val="center"/>
      </w:pPr>
      <w:r>
        <w:t>И СИСТЕМАМИ ПОЖАРНОЙ СИГНАЛИЗАЦИИ</w:t>
      </w:r>
    </w:p>
    <w:p w:rsidR="00CA2D55" w:rsidRDefault="00CA2D55">
      <w:pPr>
        <w:pStyle w:val="ConsPlusTitle"/>
        <w:jc w:val="center"/>
      </w:pPr>
    </w:p>
    <w:p w:rsidR="00CA2D55" w:rsidRDefault="00CA2D55">
      <w:pPr>
        <w:pStyle w:val="ConsPlusTitle"/>
        <w:jc w:val="center"/>
      </w:pPr>
      <w:r>
        <w:t>ТРЕБОВАНИЯ ПОЖАРНОЙ БЕЗОПАСНОСТИ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jc w:val="right"/>
      </w:pPr>
      <w:r>
        <w:t>Дата введения 2021-03-01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Title"/>
        <w:jc w:val="center"/>
        <w:outlineLvl w:val="1"/>
      </w:pPr>
      <w:r>
        <w:t>Предисловие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июня 2015 г. N 162-ФЗ "О стандартизации в Российской Федерации", а правила разработки сводов правил -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624 "Об утверждении Правил разработки, утверждения, опубликования, изменения и отмены сводов правил".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 xml:space="preserve">Настоящий свод правил разработан в целях обеспечения соблюдения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22 июля 2008 г. N 123-ФЗ "Технический регламент о требованиях пожарной безопасности".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Title"/>
        <w:ind w:firstLine="540"/>
        <w:jc w:val="both"/>
        <w:outlineLvl w:val="1"/>
      </w:pPr>
      <w:r>
        <w:t>Сведения о своде правил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ind w:firstLine="540"/>
        <w:jc w:val="both"/>
      </w:pPr>
      <w:r>
        <w:t>1. РАЗРАБОТАН Федеральным государственным бюджетным учреждением "Всероссийский ордена "Знак Почета" научно-исследовательский институт противопожарной обороны Министерства Российской Федерации по делам гражданской обороны, чрезвычайным ситуациям и ликвидации последствий стихийных бедствий" (далее - ФГБУ ВНИИПО МЧС России)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2. УТВЕРЖДЕН И ВВЕДЕН В ДЕЙСТВИЕ 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от 20.07.2020 N 539.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3 ЗАРЕГИСТРИРОВАН Федеральным агентством по техническому регулированию и метрологии 20 октября 2020 г.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4. ВВЕДЕН ВПЕРВЫЕ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Информация о пересмотре или внесении изменений в настоящий свод правил, а также тексты размещаются в информационной системе общего пользования - на официальном сайте разработчика.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власти в сфере стандартизации в сети Интернет (www.gost.ru)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Минстроя России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Title"/>
        <w:ind w:firstLine="540"/>
        <w:jc w:val="both"/>
        <w:outlineLvl w:val="1"/>
      </w:pPr>
      <w:r>
        <w:t>1 Область применения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ind w:firstLine="540"/>
        <w:jc w:val="both"/>
      </w:pPr>
      <w:r>
        <w:t xml:space="preserve">1.1 Настоящий свод правил устанавливает требования пожарной безопасности, регламентирующие защиту зданий, сооружений, помещений и оборудования автоматическими установками пожаротушения (далее - АУП) и системами пожарной сигнализации (далее - СПС) при </w:t>
      </w:r>
      <w:r>
        <w:lastRenderedPageBreak/>
        <w:t xml:space="preserve">их проектировании, реконструкции, капитальном ремонте, изменении функционального назначения, а также при техническом перевооружении. При этом указанные АУП и СПС должны проектироваться в соответствии с требованиями </w:t>
      </w:r>
      <w:hyperlink r:id="rId11" w:history="1">
        <w:r>
          <w:rPr>
            <w:color w:val="0000FF"/>
          </w:rPr>
          <w:t>СП 485.1311500</w:t>
        </w:r>
      </w:hyperlink>
      <w:r>
        <w:t xml:space="preserve"> и </w:t>
      </w:r>
      <w:hyperlink r:id="rId12" w:history="1">
        <w:r>
          <w:rPr>
            <w:color w:val="0000FF"/>
          </w:rPr>
          <w:t>СП 484.1311500</w:t>
        </w:r>
      </w:hyperlink>
      <w:r>
        <w:t xml:space="preserve"> соответственно.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1.2 Для зданий и сооружений, на которые введены отдельные нормы в соответствии с действующим законодательством в области стандартизации и технического регулирования, в случае наличия противоречий между указанными нормами и настоящим сводом правил следует руководствоваться более высокими требованиями.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1.3 Настоящий свод правил может быть использован при разработке специальных технических условий для объектов защиты.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Title"/>
        <w:ind w:firstLine="540"/>
        <w:jc w:val="both"/>
        <w:outlineLvl w:val="1"/>
      </w:pPr>
      <w:r>
        <w:t>2 Нормативные ссылки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следующие документы:</w:t>
      </w:r>
    </w:p>
    <w:p w:rsidR="00CA2D55" w:rsidRDefault="00CA2D5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ГОСТ IEC 60332-3-22-2011</w:t>
        </w:r>
      </w:hyperlink>
      <w:r>
        <w:t xml:space="preserve"> Испытания электрических и оптических кабелей в условиях воздействия пламени. Часть 3-22. Распространение пламени по вертикально расположенным пучкам проводов или кабелей. Категория А</w:t>
      </w:r>
    </w:p>
    <w:p w:rsidR="00CA2D55" w:rsidRDefault="00CA2D5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СП 1.13130.2020</w:t>
        </w:r>
      </w:hyperlink>
      <w:r>
        <w:t>. "Системы противопожарной защиты. Эвакуационные пути и выходы"</w:t>
      </w:r>
    </w:p>
    <w:p w:rsidR="00CA2D55" w:rsidRDefault="00CA2D5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СП 6.13130.2013</w:t>
        </w:r>
      </w:hyperlink>
      <w:r>
        <w:t>. "Системы противопожарной защиты. Электрооборудование. Требования пожарной безопасности"</w:t>
      </w:r>
    </w:p>
    <w:p w:rsidR="00CA2D55" w:rsidRDefault="00CA2D5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СП 7.13130.2013</w:t>
        </w:r>
      </w:hyperlink>
      <w:r>
        <w:t>. "Отопление, вентиляция, кондиционирование. Требования пожарной безопасности"</w:t>
      </w:r>
    </w:p>
    <w:p w:rsidR="00CA2D55" w:rsidRDefault="00CA2D5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СП 120.13330.2012</w:t>
        </w:r>
      </w:hyperlink>
      <w:r>
        <w:t>. "Метрополитены"</w:t>
      </w:r>
    </w:p>
    <w:p w:rsidR="00CA2D55" w:rsidRDefault="00CA2D5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СП 153.13130.2013</w:t>
        </w:r>
      </w:hyperlink>
      <w:r>
        <w:t>. "Инфраструктура железнодорожного транспорта. Требования пожарной безопасности"</w:t>
      </w:r>
    </w:p>
    <w:p w:rsidR="00CA2D55" w:rsidRDefault="00CA2D5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СП 155.13130.2014</w:t>
        </w:r>
      </w:hyperlink>
      <w:r>
        <w:t>. "Склады нефти и нефтепродуктов. Требования пожарной безопасности"</w:t>
      </w:r>
    </w:p>
    <w:p w:rsidR="00CA2D55" w:rsidRDefault="00CA2D55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СП 156.13130.2014</w:t>
        </w:r>
      </w:hyperlink>
      <w:r>
        <w:t>. "Станции автомобильные заправочные. Требования пожарной безопасности"</w:t>
      </w:r>
    </w:p>
    <w:p w:rsidR="00CA2D55" w:rsidRDefault="00CA2D55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СП 364.1311500-2018</w:t>
        </w:r>
      </w:hyperlink>
      <w:r>
        <w:t>. "Здания и сооружения для обслуживания автомобилей. Требования пожарной безопасности"</w:t>
      </w:r>
    </w:p>
    <w:p w:rsidR="00CA2D55" w:rsidRDefault="00CA2D5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СП 484.1311500.2020</w:t>
        </w:r>
      </w:hyperlink>
      <w:r>
        <w:t xml:space="preserve"> "Системы противопожарной защиты. Системы пожарной сигнализации и автоматизация систем противопожарной защиты. Нормы и правила проектирования"</w:t>
      </w:r>
    </w:p>
    <w:p w:rsidR="00CA2D55" w:rsidRDefault="00CA2D5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СП 485.1311500.2020</w:t>
        </w:r>
      </w:hyperlink>
      <w:r>
        <w:t xml:space="preserve"> "Системы противопожарной защиты. Установки пожаротушения автоматические. Нормы и правила проектирования"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 xml:space="preserve">Примечание -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</w:t>
      </w:r>
      <w:r>
        <w:lastRenderedPageBreak/>
        <w:t>эту ссылку.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Title"/>
        <w:ind w:firstLine="540"/>
        <w:jc w:val="both"/>
        <w:outlineLvl w:val="1"/>
      </w:pPr>
      <w:r>
        <w:t>3 Термины и определения, сокращения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ind w:firstLine="540"/>
        <w:jc w:val="both"/>
      </w:pPr>
      <w:r>
        <w:t xml:space="preserve">В настоящем своде правил приняты термины и определения, приведенные в </w:t>
      </w:r>
      <w:hyperlink w:anchor="P684" w:history="1">
        <w:r>
          <w:rPr>
            <w:color w:val="0000FF"/>
          </w:rPr>
          <w:t>[1]</w:t>
        </w:r>
      </w:hyperlink>
      <w:r>
        <w:t>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Кроме того, в настоящем своде правил, за исключением специально оговоренных случаев, применены следующие термины с соответствующими определениями: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3.1 охлаждаемая камера: Помещение, оборудованное системой искусственного охлаждения для поддержания температурного режима, как правило, в диапазоне температур от минус 30 °C до плюс 5 °C, соответствующего требованиям технологического процесса производства, содержания и хранения продукции без изменения качественных показателей и товарного вида в течение установленного нормативными документами периода;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3.2 помещение с мокрыми процессами: Помещение с влажностью внутреннего воздуха свыше 75% при температуре от 12 до 24 °C, а также с влажностью внутреннего воздуха свыше 60% при температуре свыше 24 °C.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3.3 холодильник промышленный: Здание, сооружение на территории производственного объекта с искусственным охлаждением воздуха в помещениях, предназначенных для охлаждения, замораживания, обработки и хранения продукции.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В настоящем своде правил применены следующие сокращения: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АСУ ТП - автоматизированная система управления технологическим процессом;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АТС - автоматическая телефонная станция;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АУП - автоматическая установка пожаротушения;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ГЖ - горючая жидкость;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ЛВЖ - легковоспламеняющаяся жидкость;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СПС - система пожарной сигнализации;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ЭВМ - электронно-вычислительная машина.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Title"/>
        <w:ind w:firstLine="540"/>
        <w:jc w:val="both"/>
        <w:outlineLvl w:val="1"/>
      </w:pPr>
      <w:r>
        <w:t>4 Общие положения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ind w:firstLine="540"/>
        <w:jc w:val="both"/>
      </w:pPr>
      <w:r>
        <w:t xml:space="preserve">4.1 При определении необходимости защиты здания и его отдельных помещений автоматическими установками пожаротушения и (или) системой пожарной сигнализации следует в первую очередь определить необходимость защиты здания в целом </w:t>
      </w:r>
      <w:hyperlink w:anchor="P130" w:history="1">
        <w:r>
          <w:rPr>
            <w:color w:val="0000FF"/>
          </w:rPr>
          <w:t>(таблица 1)</w:t>
        </w:r>
      </w:hyperlink>
      <w:r>
        <w:t xml:space="preserve">, затем определить необходимость защиты каждого сооружения </w:t>
      </w:r>
      <w:hyperlink w:anchor="P278" w:history="1">
        <w:r>
          <w:rPr>
            <w:color w:val="0000FF"/>
          </w:rPr>
          <w:t>(таблица 2)</w:t>
        </w:r>
      </w:hyperlink>
      <w:r>
        <w:t xml:space="preserve"> и помещения </w:t>
      </w:r>
      <w:hyperlink w:anchor="P359" w:history="1">
        <w:r>
          <w:rPr>
            <w:color w:val="0000FF"/>
          </w:rPr>
          <w:t>(таблица 3)</w:t>
        </w:r>
      </w:hyperlink>
      <w:r>
        <w:t xml:space="preserve">, входящих в состав здания, и в заключении определить необходимость защиты оборудования, находящегося в помещениях здания </w:t>
      </w:r>
      <w:hyperlink w:anchor="P637" w:history="1">
        <w:r>
          <w:rPr>
            <w:color w:val="0000FF"/>
          </w:rPr>
          <w:t>(таблица 4)</w:t>
        </w:r>
      </w:hyperlink>
      <w:r>
        <w:t>. При этом наряду с требованиями, указанными в таблицах, также учитываются положения настоящего раздела.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4.2 Под зданием в настоящем своде правил понимается здание в целом или пожарный отсек, выделенный от остальной части здания противопожарными стенами 1-го типа. Для зданий, имеющих подземную и надземную части, выделенные в самостоятельные пожарные отсеки с обособленными эвакуационными выходами, указанные части (надземную и подземную) в контексте настоящего свода правил допускается рассматривать как отдельные здания.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 xml:space="preserve">Под нормативным показателем площади помещения в </w:t>
      </w:r>
      <w:hyperlink w:anchor="P359" w:history="1">
        <w:r>
          <w:rPr>
            <w:color w:val="0000FF"/>
          </w:rPr>
          <w:t>таблице 3</w:t>
        </w:r>
      </w:hyperlink>
      <w:r>
        <w:t xml:space="preserve"> настоящего свода правил </w:t>
      </w:r>
      <w:r>
        <w:lastRenderedPageBreak/>
        <w:t xml:space="preserve">понимается площадь части здания или сооружения, выделенная ограждающими конструкциями, отнесенными к противопожарным преградам с пределом огнестойкости: перегородки - не менее EI 45, стены и перекрытия - не менее REI 45. Для зданий и сооружений, в составе которых отсутствуют части (помещения), выделенные ограждающими конструкциями с указанным пределом огнестойкости, под нормативным показателем площади помещения в </w:t>
      </w:r>
      <w:hyperlink w:anchor="P359" w:history="1">
        <w:r>
          <w:rPr>
            <w:color w:val="0000FF"/>
          </w:rPr>
          <w:t>таблице 3</w:t>
        </w:r>
      </w:hyperlink>
      <w:r>
        <w:t xml:space="preserve"> понимается площадь, выделенная наружными ограждающими конструкциями здания или сооружения.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 xml:space="preserve">4.3 Тип АУП, способ тушения, вид огнетушащих веществ, тип оборудования СПС определяются проектной организацией в зависимости от технологических, конструктивных и объемно-планировочных особенностей защищаемых объектов в соответствии с требованиями СП 485.1511500 и </w:t>
      </w:r>
      <w:hyperlink r:id="rId24" w:history="1">
        <w:r>
          <w:rPr>
            <w:color w:val="0000FF"/>
          </w:rPr>
          <w:t>СП 484.1311500</w:t>
        </w:r>
      </w:hyperlink>
      <w:r>
        <w:t xml:space="preserve"> с учетом положений настоящего свода правил.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 xml:space="preserve">Здания и помещения, перечисленные в </w:t>
      </w:r>
      <w:hyperlink w:anchor="P142" w:history="1">
        <w:r>
          <w:rPr>
            <w:color w:val="0000FF"/>
          </w:rPr>
          <w:t>пунктах 3</w:t>
        </w:r>
      </w:hyperlink>
      <w:r>
        <w:t xml:space="preserve">, </w:t>
      </w:r>
      <w:hyperlink w:anchor="P190" w:history="1">
        <w:r>
          <w:rPr>
            <w:color w:val="0000FF"/>
          </w:rPr>
          <w:t>7</w:t>
        </w:r>
      </w:hyperlink>
      <w:r>
        <w:t xml:space="preserve">, </w:t>
      </w:r>
      <w:hyperlink w:anchor="P193" w:history="1">
        <w:r>
          <w:rPr>
            <w:color w:val="0000FF"/>
          </w:rPr>
          <w:t>8</w:t>
        </w:r>
      </w:hyperlink>
      <w:r>
        <w:t xml:space="preserve">, </w:t>
      </w:r>
      <w:hyperlink w:anchor="P202" w:history="1">
        <w:r>
          <w:rPr>
            <w:color w:val="0000FF"/>
          </w:rPr>
          <w:t>9</w:t>
        </w:r>
      </w:hyperlink>
      <w:r>
        <w:t xml:space="preserve">, </w:t>
      </w:r>
      <w:hyperlink w:anchor="P214" w:history="1">
        <w:r>
          <w:rPr>
            <w:color w:val="0000FF"/>
          </w:rPr>
          <w:t>11</w:t>
        </w:r>
      </w:hyperlink>
      <w:r>
        <w:t xml:space="preserve">, </w:t>
      </w:r>
      <w:hyperlink w:anchor="P217" w:history="1">
        <w:r>
          <w:rPr>
            <w:color w:val="0000FF"/>
          </w:rPr>
          <w:t>12</w:t>
        </w:r>
      </w:hyperlink>
      <w:r>
        <w:t xml:space="preserve">, </w:t>
      </w:r>
      <w:hyperlink w:anchor="P248" w:history="1">
        <w:r>
          <w:rPr>
            <w:color w:val="0000FF"/>
          </w:rPr>
          <w:t>14</w:t>
        </w:r>
      </w:hyperlink>
      <w:r>
        <w:t xml:space="preserve">, </w:t>
      </w:r>
      <w:hyperlink w:anchor="P257" w:history="1">
        <w:r>
          <w:rPr>
            <w:color w:val="0000FF"/>
          </w:rPr>
          <w:t>15 таблицы 1</w:t>
        </w:r>
      </w:hyperlink>
      <w:r>
        <w:t xml:space="preserve"> и </w:t>
      </w:r>
      <w:hyperlink w:anchor="P464" w:history="1">
        <w:r>
          <w:rPr>
            <w:color w:val="0000FF"/>
          </w:rPr>
          <w:t>16</w:t>
        </w:r>
      </w:hyperlink>
      <w:r>
        <w:t xml:space="preserve"> - </w:t>
      </w:r>
      <w:hyperlink w:anchor="P497" w:history="1">
        <w:r>
          <w:rPr>
            <w:color w:val="0000FF"/>
          </w:rPr>
          <w:t>21</w:t>
        </w:r>
      </w:hyperlink>
      <w:r>
        <w:t xml:space="preserve">, </w:t>
      </w:r>
      <w:hyperlink w:anchor="P526" w:history="1">
        <w:r>
          <w:rPr>
            <w:color w:val="0000FF"/>
          </w:rPr>
          <w:t>29</w:t>
        </w:r>
      </w:hyperlink>
      <w:r>
        <w:t xml:space="preserve"> - </w:t>
      </w:r>
      <w:hyperlink w:anchor="P541" w:history="1">
        <w:r>
          <w:rPr>
            <w:color w:val="0000FF"/>
          </w:rPr>
          <w:t>32</w:t>
        </w:r>
      </w:hyperlink>
      <w:r>
        <w:t xml:space="preserve">, </w:t>
      </w:r>
      <w:hyperlink w:anchor="P564" w:history="1">
        <w:r>
          <w:rPr>
            <w:color w:val="0000FF"/>
          </w:rPr>
          <w:t>35</w:t>
        </w:r>
      </w:hyperlink>
      <w:r>
        <w:t xml:space="preserve"> - </w:t>
      </w:r>
      <w:hyperlink w:anchor="P623" w:history="1">
        <w:r>
          <w:rPr>
            <w:color w:val="0000FF"/>
          </w:rPr>
          <w:t>48 таблицы 3</w:t>
        </w:r>
      </w:hyperlink>
      <w:r>
        <w:t>, при применении СПС следует оборудовать дымовыми пожарными извещателями, либо комбинированными или мультикритериальными пожарными извещателями, реагирующими на дым (кроме помещений для приготовления пищи).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 xml:space="preserve">При оборудовании помещений жилых зданий СПС следует дополнительно учитывать требования </w:t>
      </w:r>
      <w:hyperlink r:id="rId25" w:history="1">
        <w:r>
          <w:rPr>
            <w:color w:val="0000FF"/>
          </w:rPr>
          <w:t>СП 484.1311500</w:t>
        </w:r>
      </w:hyperlink>
      <w:r>
        <w:t>.</w:t>
      </w:r>
    </w:p>
    <w:p w:rsidR="00CA2D55" w:rsidRDefault="00CA2D55">
      <w:pPr>
        <w:pStyle w:val="ConsPlusNormal"/>
        <w:spacing w:before="220"/>
        <w:ind w:firstLine="540"/>
        <w:jc w:val="both"/>
      </w:pPr>
      <w:bookmarkStart w:id="1" w:name="P111"/>
      <w:bookmarkEnd w:id="1"/>
      <w:r>
        <w:t>4.4 В зданиях и сооружениях, указанных в данном перечне, следует защищать АУП и (или) СПС все помещения независимо от площади, кроме помещений: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- с мокрыми процессами, душевых, плавательных бассейнов, санузлов, мойки;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- венткамер (за исключением вытяжных, обслуживающих производственные помещения категории А или Б), насосных водоснабжения, бойлерных, тепловых пунктов;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- категории В4 (за исключением помещений категории В4 в зданиях классов функциональной пожарной опасности Ф1.1, Ф1.2, Ф2.1, Ф4.1 и Ф4.2) и Д по пожарной опасности;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- лестничных клеток;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- тамбуров и тамбур-шлюзов;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- чердаков (за исключением чердаков в зданиях классов функциональной пожарной опасности Ф1.1, Ф1.2, Ф2.1, Ф4.1 и Ф4.2).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Примечание - в лифтовых холлах и безопасных зонах предусматривается установка только СПС.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 xml:space="preserve">4.5 Если площадь помещений, подлежащих оборудованию АУП, составляет 40% и более от общей площади этажей здания, сооружения, следует предусматривать оборудование здания, сооружения в целом АУП с учетом требований </w:t>
      </w:r>
      <w:hyperlink w:anchor="P111" w:history="1">
        <w:r>
          <w:rPr>
            <w:color w:val="0000FF"/>
          </w:rPr>
          <w:t>пункта 4.4</w:t>
        </w:r>
      </w:hyperlink>
      <w:r>
        <w:t>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4.6 Категория зданий и помещений по взрывопожарной и пожарной опасности определяется в соответствии с нормативными документами по пожарной безопасности, утвержденными в установленном порядке.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4.7 Защита наружных установок с обращением взрывопожароопасных и пожароопасных веществ и материалов АУП и СПС определяется нормативными документами по пожарной безопасности.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 xml:space="preserve">4.8 Перечень зданий, сооружений, помещений и оборудования, подлежащих защите АУП и (или) СПС, представлен в </w:t>
      </w:r>
      <w:hyperlink w:anchor="P130" w:history="1">
        <w:r>
          <w:rPr>
            <w:color w:val="0000FF"/>
          </w:rPr>
          <w:t>таблицах 1</w:t>
        </w:r>
      </w:hyperlink>
      <w:r>
        <w:t xml:space="preserve"> - </w:t>
      </w:r>
      <w:hyperlink w:anchor="P637" w:history="1">
        <w:r>
          <w:rPr>
            <w:color w:val="0000FF"/>
          </w:rPr>
          <w:t>4</w:t>
        </w:r>
      </w:hyperlink>
      <w:r>
        <w:t>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lastRenderedPageBreak/>
        <w:t xml:space="preserve">В случае превышения приведенного в </w:t>
      </w:r>
      <w:hyperlink w:anchor="P130" w:history="1">
        <w:r>
          <w:rPr>
            <w:color w:val="0000FF"/>
          </w:rPr>
          <w:t>таблицах 1</w:t>
        </w:r>
      </w:hyperlink>
      <w:r>
        <w:t xml:space="preserve"> и </w:t>
      </w:r>
      <w:hyperlink w:anchor="P359" w:history="1">
        <w:r>
          <w:rPr>
            <w:color w:val="0000FF"/>
          </w:rPr>
          <w:t>3</w:t>
        </w:r>
      </w:hyperlink>
      <w:r>
        <w:t xml:space="preserve"> значения нормативного показателя площади здания (помещения) в пределах 5% допускается защита здания (помещения) СПС без использования АУП.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4.9 Помещения зданий классов функциональной пожарной опасности Ф1, Ф2, Ф3 и Ф4, защищаемые согласно настоящему своду правил АУП, должны дополнительно оборудоваться СПС.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Для помещений зданий класса функциональной пожарной опасности Ф5, защищаемых согласно настоящему своду правил АУП, допускается не предусматривать СПС при обеспечении безопасной эвакуации людей из здания, с учетом инерционности срабатывания АУП.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 xml:space="preserve">4.10 Помещения, перечисленные в </w:t>
      </w:r>
      <w:hyperlink w:anchor="P359" w:history="1">
        <w:r>
          <w:rPr>
            <w:color w:val="0000FF"/>
          </w:rPr>
          <w:t>таблице 3</w:t>
        </w:r>
      </w:hyperlink>
      <w:r>
        <w:t xml:space="preserve">, а также сооружения, указанные в </w:t>
      </w:r>
      <w:hyperlink w:anchor="P329" w:history="1">
        <w:r>
          <w:rPr>
            <w:color w:val="0000FF"/>
          </w:rPr>
          <w:t>пункте 10</w:t>
        </w:r>
      </w:hyperlink>
      <w:r>
        <w:t xml:space="preserve"> таблицы 2, оборудуются соответствующими системами противопожарной защиты независимо от назначения здания, в состав которого они входят.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 xml:space="preserve">4.11 Оборудование системами противопожарной защиты помещений автозаправочных станций (далее - АЗС) следует осуществлять в соответствии с положениями </w:t>
      </w:r>
      <w:hyperlink r:id="rId26" w:history="1">
        <w:r>
          <w:rPr>
            <w:color w:val="0000FF"/>
          </w:rPr>
          <w:t>СП 156.13130</w:t>
        </w:r>
      </w:hyperlink>
      <w:r>
        <w:t>.</w:t>
      </w:r>
    </w:p>
    <w:p w:rsidR="00CA2D55" w:rsidRDefault="00CA2D55">
      <w:pPr>
        <w:pStyle w:val="ConsPlusNormal"/>
        <w:spacing w:before="220"/>
        <w:ind w:firstLine="540"/>
        <w:jc w:val="both"/>
      </w:pPr>
      <w:r>
        <w:t>4.12 Здания, сооружения и помещения, не вошедшие в настоящий свод правил, оборудуются системами противопожарной защиты в соответствии с требованиями нормативных документов по пожарной безопасности.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Title"/>
        <w:jc w:val="both"/>
        <w:outlineLvl w:val="2"/>
      </w:pPr>
      <w:bookmarkStart w:id="2" w:name="P130"/>
      <w:bookmarkEnd w:id="2"/>
      <w:r>
        <w:t>Таблица 1 - Здания</w:t>
      </w:r>
    </w:p>
    <w:p w:rsidR="00CA2D55" w:rsidRDefault="00CA2D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9"/>
        <w:gridCol w:w="2429"/>
        <w:gridCol w:w="2041"/>
      </w:tblGrid>
      <w:tr w:rsidR="00CA2D55">
        <w:tc>
          <w:tcPr>
            <w:tcW w:w="4589" w:type="dxa"/>
            <w:vMerge w:val="restart"/>
          </w:tcPr>
          <w:p w:rsidR="00CA2D55" w:rsidRDefault="00CA2D55">
            <w:pPr>
              <w:pStyle w:val="ConsPlusNormal"/>
              <w:jc w:val="center"/>
            </w:pPr>
            <w:r>
              <w:t>Объект защиты</w:t>
            </w:r>
          </w:p>
        </w:tc>
        <w:tc>
          <w:tcPr>
            <w:tcW w:w="2429" w:type="dxa"/>
          </w:tcPr>
          <w:p w:rsidR="00CA2D55" w:rsidRDefault="00CA2D55">
            <w:pPr>
              <w:pStyle w:val="ConsPlusNormal"/>
              <w:jc w:val="center"/>
            </w:pPr>
            <w:r>
              <w:t>АУП</w:t>
            </w:r>
          </w:p>
        </w:tc>
        <w:tc>
          <w:tcPr>
            <w:tcW w:w="2041" w:type="dxa"/>
          </w:tcPr>
          <w:p w:rsidR="00CA2D55" w:rsidRDefault="00CA2D55">
            <w:pPr>
              <w:pStyle w:val="ConsPlusNormal"/>
              <w:jc w:val="center"/>
            </w:pPr>
            <w:r>
              <w:t>СПС</w:t>
            </w:r>
          </w:p>
        </w:tc>
      </w:tr>
      <w:tr w:rsidR="00CA2D55">
        <w:tc>
          <w:tcPr>
            <w:tcW w:w="4589" w:type="dxa"/>
            <w:vMerge/>
          </w:tcPr>
          <w:p w:rsidR="00CA2D55" w:rsidRDefault="00CA2D55"/>
        </w:tc>
        <w:tc>
          <w:tcPr>
            <w:tcW w:w="4470" w:type="dxa"/>
            <w:gridSpan w:val="2"/>
          </w:tcPr>
          <w:p w:rsidR="00CA2D55" w:rsidRDefault="00CA2D55">
            <w:pPr>
              <w:pStyle w:val="ConsPlusNormal"/>
              <w:jc w:val="center"/>
            </w:pPr>
            <w:r>
              <w:t>Нормативный показатель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3" w:name="P136"/>
            <w:bookmarkEnd w:id="3"/>
            <w:r>
              <w:t>1 Здания складов категории В по пожарной опасности с хранением на стеллажах высотой 5,5 м и более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 и этажности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2 Здания складов категории В по пожарной опасности высотой два этажа и более (кроме указанных в </w:t>
            </w:r>
            <w:hyperlink w:anchor="P136" w:history="1">
              <w:r>
                <w:rPr>
                  <w:color w:val="0000FF"/>
                </w:rPr>
                <w:t>пункте 1</w:t>
              </w:r>
            </w:hyperlink>
            <w:r>
              <w:t>)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4" w:name="P142"/>
            <w:bookmarkEnd w:id="4"/>
            <w:r>
              <w:t>3 Здания архивов уникальных изданий, отчетов, рукописей и других носителей информации особой ценности, а также здания хранилищ предметов культурного наследия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 Здания и сооружения для автомобилей: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4.1 Автостоянки закрытого типа </w:t>
            </w:r>
            <w:hyperlink w:anchor="P270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4.1.1 Подземные, надземные высотой 2 этажа и более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4.1.2 Надземные одноэтажные: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4.1.2.1 Здания I, II, III степени огнестойкости класса конструктивной пожарной опасности С0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общей площади здания (пожарного отсека) 7000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общей площади здания (пожарного отсека) менее 7000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4.1.2.2 Здания I, II, III степени огнестойкости </w:t>
            </w:r>
            <w:r>
              <w:lastRenderedPageBreak/>
              <w:t>класса конструктивной пожарной опасности С1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lastRenderedPageBreak/>
              <w:t xml:space="preserve">При общей площади </w:t>
            </w:r>
            <w:r>
              <w:lastRenderedPageBreak/>
              <w:t>здания (пожарного отсека) 3600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lastRenderedPageBreak/>
              <w:t xml:space="preserve">При общей </w:t>
            </w:r>
            <w:r>
              <w:lastRenderedPageBreak/>
              <w:t>площади здания (пожарного отсека) менее 3600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lastRenderedPageBreak/>
              <w:t>4.1.2.3 Здания IV степени огнестойкости класса конструктивной пожарной опасности С0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общей площади здания (пожарного отсека) 3600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общей площади здания (пожарного отсека) менее 3600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4.1.2.4 Здания IV степени огнестойкости класса конструктивной пожарной опасности С1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общей площади здания (пожарного отсека) 2000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общей площади здания (пожарного отсека) менее 2000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4.1.2.5 Здания IV степени огнестойкости класса конструктивной пожарной опасности С2, С3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общей площади здания (пожарного отсека) 1000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общей площади здания (пожарного отсека) менее 1000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4.1.3 Здания механизированных автостоянок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 и этажности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5 Здания высотой более 30 м (за исключением жилых зданий (класса функциональной пожарной опасности Ф1.3) и производственных зданий категории Г и Д по пожарной опасности) </w:t>
            </w:r>
            <w:hyperlink w:anchor="P27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6 Жилые здания </w:t>
            </w:r>
            <w:hyperlink w:anchor="P2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6.1 Жилые здания многоквартирные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6.2 Жилые здания одноквартирные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Оборудуются автономными дымовыми пожарными извещателями 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6.3 Жилые здания высотой более 75 м </w:t>
            </w:r>
            <w:hyperlink w:anchor="P27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5" w:name="P190"/>
            <w:bookmarkEnd w:id="5"/>
            <w:r>
              <w:t>7 Специализированные дома (не квартирные), дома-интернаты для престарелых и инвалидов, детей-инвалидов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6" w:name="P193"/>
            <w:bookmarkEnd w:id="6"/>
            <w:r>
              <w:t>8 Здания общежитий и гостиниц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8.1 Общежития квартирного типа (класса функциональной пожарной опасности Ф1.3)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8.2 Гостиницы и общежития не квартирного типа, спальные корпуса санаториев и домов отдыха общего типа, кемпингов, мотелей и пансионатов (класса функциональной </w:t>
            </w:r>
            <w:r>
              <w:lastRenderedPageBreak/>
              <w:t>пожарной опасности Ф1.2)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lastRenderedPageBreak/>
              <w:t>При высоте 30 м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высоте менее 30 м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7" w:name="P202"/>
            <w:bookmarkEnd w:id="7"/>
            <w:r>
              <w:t>9 Здания общественного и административно-бытового назначения из легких металлических конструкций (IV - V степени огнестойкости) класса конструктивной пожарной опасности С2 - С3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9.1 Общественного назначения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800 м</w:t>
            </w:r>
            <w:r>
              <w:rPr>
                <w:vertAlign w:val="superscript"/>
              </w:rPr>
              <w:t>2</w:t>
            </w:r>
            <w:r>
              <w:t xml:space="preserve"> и более </w:t>
            </w:r>
            <w:hyperlink w:anchor="P2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800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9.2 Административно-бытового назначения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1200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1200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10 Здания и сооружения по переработке и хранению зерна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 и этажности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8" w:name="P214"/>
            <w:bookmarkEnd w:id="8"/>
            <w:r>
              <w:t>11 Здания общественного и административно-бытового назначения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 и этажности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9" w:name="P217"/>
            <w:bookmarkEnd w:id="9"/>
            <w:r>
              <w:t>12 Здания предприятий торговли (кроме зданий по продаже и подготовке к продаже автомобилей), за исключением помещений хранения и подготовки к продаже мяса, рыбы, фруктов и овощей (в негорючей упаковке), металлической посуды, негорючих строительных материалов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12.1 Одноэтажные: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12.1.1 При размещении торгового зала в цокольном, заглубленном более чем на 0,5 м, или подвальном этажах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200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200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12.1.2 При размещении торгового зала в наземной части здания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площади здания 3500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площади здания менее 3500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12.2 Двухэтажные: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12.2.1 При размещении торгового зала в цокольном, заглубленном более чем на 0,5 м, или подвальном этажах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12.2.2 При размещении торгового зала в наземной части здания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площади здания 4000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площади здания менее 4000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12.3 Трехэтажные и более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12.4 Здания специализированных предприятий торговли по продаже легковоспламеняющихся и горючих жидкостей (за исключением расфасованного товара в таре емкостью не более 20 л)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lastRenderedPageBreak/>
              <w:t>13 Объекты и комплексы религиозного назначения (кроме отдельно стоящих объектов, состоящих из единственного помещения).</w:t>
            </w:r>
          </w:p>
          <w:p w:rsidR="00CA2D55" w:rsidRDefault="00CA2D55">
            <w:pPr>
              <w:pStyle w:val="ConsPlusNormal"/>
              <w:jc w:val="both"/>
            </w:pPr>
            <w:r>
              <w:t>(Производственные, складские и жилые здания комплексов религиозного назначения оборудуются по требованиям соответствующих пунктов настоящего свода правил)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 и этажности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10" w:name="P248"/>
            <w:bookmarkEnd w:id="10"/>
            <w:r>
              <w:t>14 Здания выставочных павильонов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14.1 Одноэтажные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1000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14.2 Двухэтажные и более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11" w:name="P257"/>
            <w:bookmarkEnd w:id="11"/>
            <w:r>
              <w:t>15 Здания общеобразовательных школ высотой более 4-х этажей, нс считая верхнего технического этажа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16 Здания пожарных депо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 и числа пожарных автомобилей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17 Животноводческие, птицеводческие и звероводческие здания </w:t>
            </w:r>
            <w:hyperlink w:anchor="P27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площади здания более 10000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18 Отдельно стоящие (не пристроенные к другим зданиям) в сельских населенных пунктах магазины продовольственных товаров, аптеки, фельдшерско-акушерские пункты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 xml:space="preserve">Независимо от площади </w:t>
            </w:r>
            <w:hyperlink w:anchor="P276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CA2D55">
        <w:tc>
          <w:tcPr>
            <w:tcW w:w="9059" w:type="dxa"/>
            <w:gridSpan w:val="3"/>
          </w:tcPr>
          <w:p w:rsidR="00CA2D55" w:rsidRDefault="00CA2D55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12" w:name="P270"/>
            <w:bookmarkEnd w:id="12"/>
            <w:r>
              <w:t>&lt;1&gt; В одно- и двухэтажных автостоянках боксового типа с непосредственным выездом наружу из каждого бокса АУП и СПС допускается нс предусматривать, при условии, что в одном боксе размещается не более двух автомобилей.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13" w:name="P271"/>
            <w:bookmarkEnd w:id="13"/>
            <w:r>
              <w:t>&lt;2&gt; Здесь и далее высота здания (кроме зданий класса функциональной пожарной опасности Ф5) определяется по СП 1.13130. Высота здания класса функциональной пожарной опасности Ф5 измеряется от пола 1-го этажа до потолка верхнего этажа, включая технический, при переменной высоте потолка принимается средняя высота этажа.</w:t>
            </w:r>
          </w:p>
          <w:p w:rsidR="00CA2D55" w:rsidRDefault="00CA2D55">
            <w:pPr>
              <w:pStyle w:val="ConsPlusNormal"/>
              <w:ind w:firstLine="540"/>
              <w:jc w:val="both"/>
            </w:pPr>
            <w:bookmarkStart w:id="14" w:name="P272"/>
            <w:bookmarkEnd w:id="14"/>
            <w:r>
              <w:t xml:space="preserve">&lt;3&gt; Защита СПС многоквартирных жилых зданий осуществляется в соответствии с положениями </w:t>
            </w:r>
            <w:hyperlink r:id="rId27" w:history="1">
              <w:r>
                <w:rPr>
                  <w:color w:val="0000FF"/>
                </w:rPr>
                <w:t>раздела 6.2</w:t>
              </w:r>
            </w:hyperlink>
            <w:r>
              <w:t xml:space="preserve"> СП 484.1311500. Жилые помещения (комнаты), прихожие (при их наличии) и коридоры квартир, не оборудованные дымовыми пожарными извещателями СПС и пожарными оповещателями системы оповещения и управления эвакуацией людей при пожаре, следует оборудовать автономными дымовыми пожарными извещателями вне зависимости от этажности здания, в том числе, в одноквартирных жилых домах (включая блокированные).</w:t>
            </w:r>
          </w:p>
          <w:p w:rsidR="00CA2D55" w:rsidRDefault="00CA2D55">
            <w:pPr>
              <w:pStyle w:val="ConsPlusNormal"/>
              <w:ind w:firstLine="540"/>
              <w:jc w:val="both"/>
            </w:pPr>
            <w:bookmarkStart w:id="15" w:name="P273"/>
            <w:bookmarkEnd w:id="15"/>
            <w:r>
              <w:t>&lt;4&gt; Спринклерные оросители АУП устанавливаются в общих (внеквартирных) коридорах с орошением входных дверей квартир.</w:t>
            </w:r>
          </w:p>
          <w:p w:rsidR="00CA2D55" w:rsidRDefault="00CA2D55">
            <w:pPr>
              <w:pStyle w:val="ConsPlusNormal"/>
              <w:ind w:firstLine="540"/>
              <w:jc w:val="both"/>
            </w:pPr>
            <w:bookmarkStart w:id="16" w:name="P274"/>
            <w:bookmarkEnd w:id="16"/>
            <w:r>
              <w:t>&lt;5&gt; Здесь и далее в таблице 1 указана общая площадь помещений, кроме специально оговоренных случаев.</w:t>
            </w:r>
          </w:p>
          <w:p w:rsidR="00CA2D55" w:rsidRDefault="00CA2D55">
            <w:pPr>
              <w:pStyle w:val="ConsPlusNormal"/>
              <w:ind w:firstLine="540"/>
              <w:jc w:val="both"/>
            </w:pPr>
            <w:bookmarkStart w:id="17" w:name="P275"/>
            <w:bookmarkEnd w:id="17"/>
            <w:r>
              <w:t>&lt;6&gt; Встроенные и встроенно-пристроенные административные помещения указанных зданий оборудуются автономными дымовыми пожарными извещателями при площади здания не более 10000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CA2D55" w:rsidRDefault="00CA2D55">
            <w:pPr>
              <w:pStyle w:val="ConsPlusNormal"/>
              <w:ind w:firstLine="540"/>
              <w:jc w:val="both"/>
            </w:pPr>
            <w:bookmarkStart w:id="18" w:name="P276"/>
            <w:bookmarkEnd w:id="18"/>
            <w:r>
              <w:lastRenderedPageBreak/>
              <w:t>&lt;7&gt; При площади здания не более 100 м</w:t>
            </w:r>
            <w:r>
              <w:rPr>
                <w:vertAlign w:val="superscript"/>
              </w:rPr>
              <w:t>2</w:t>
            </w:r>
            <w:r>
              <w:t xml:space="preserve"> допускается вместо СПС применять автономные дымовые пожарные извещатели.</w:t>
            </w:r>
          </w:p>
        </w:tc>
      </w:tr>
    </w:tbl>
    <w:p w:rsidR="00CA2D55" w:rsidRDefault="00CA2D55">
      <w:pPr>
        <w:pStyle w:val="ConsPlusNormal"/>
        <w:jc w:val="both"/>
      </w:pPr>
    </w:p>
    <w:p w:rsidR="00CA2D55" w:rsidRDefault="00CA2D55">
      <w:pPr>
        <w:pStyle w:val="ConsPlusTitle"/>
        <w:jc w:val="both"/>
        <w:outlineLvl w:val="2"/>
      </w:pPr>
      <w:bookmarkStart w:id="19" w:name="P278"/>
      <w:bookmarkEnd w:id="19"/>
      <w:r>
        <w:t>Таблица 2 - Сооружения</w:t>
      </w:r>
    </w:p>
    <w:p w:rsidR="00CA2D55" w:rsidRDefault="00CA2D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9"/>
        <w:gridCol w:w="2429"/>
        <w:gridCol w:w="2041"/>
      </w:tblGrid>
      <w:tr w:rsidR="00CA2D55">
        <w:tc>
          <w:tcPr>
            <w:tcW w:w="4589" w:type="dxa"/>
            <w:vMerge w:val="restart"/>
          </w:tcPr>
          <w:p w:rsidR="00CA2D55" w:rsidRDefault="00CA2D55">
            <w:pPr>
              <w:pStyle w:val="ConsPlusNormal"/>
              <w:jc w:val="center"/>
            </w:pPr>
            <w:r>
              <w:t>Объект защиты</w:t>
            </w:r>
          </w:p>
        </w:tc>
        <w:tc>
          <w:tcPr>
            <w:tcW w:w="2429" w:type="dxa"/>
          </w:tcPr>
          <w:p w:rsidR="00CA2D55" w:rsidRDefault="00CA2D55">
            <w:pPr>
              <w:pStyle w:val="ConsPlusNormal"/>
              <w:jc w:val="center"/>
            </w:pPr>
            <w:r>
              <w:t>АУП</w:t>
            </w:r>
          </w:p>
        </w:tc>
        <w:tc>
          <w:tcPr>
            <w:tcW w:w="2041" w:type="dxa"/>
          </w:tcPr>
          <w:p w:rsidR="00CA2D55" w:rsidRDefault="00CA2D55">
            <w:pPr>
              <w:pStyle w:val="ConsPlusNormal"/>
              <w:jc w:val="center"/>
            </w:pPr>
            <w:r>
              <w:t>СПС</w:t>
            </w:r>
          </w:p>
        </w:tc>
      </w:tr>
      <w:tr w:rsidR="00CA2D55">
        <w:tc>
          <w:tcPr>
            <w:tcW w:w="4589" w:type="dxa"/>
            <w:vMerge/>
          </w:tcPr>
          <w:p w:rsidR="00CA2D55" w:rsidRDefault="00CA2D55"/>
        </w:tc>
        <w:tc>
          <w:tcPr>
            <w:tcW w:w="4470" w:type="dxa"/>
            <w:gridSpan w:val="2"/>
          </w:tcPr>
          <w:p w:rsidR="00CA2D55" w:rsidRDefault="00CA2D55">
            <w:pPr>
              <w:pStyle w:val="ConsPlusNormal"/>
              <w:jc w:val="center"/>
            </w:pPr>
            <w:r>
              <w:t>Нормативный показатель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20" w:name="P284"/>
            <w:bookmarkEnd w:id="20"/>
            <w:r>
              <w:t xml:space="preserve">1 Кабельные сооружения </w:t>
            </w:r>
            <w:hyperlink w:anchor="P345" w:history="1">
              <w:r>
                <w:rPr>
                  <w:color w:val="0000FF"/>
                </w:rPr>
                <w:t>&lt;1&gt;</w:t>
              </w:r>
            </w:hyperlink>
            <w:r>
              <w:t xml:space="preserve"> электростанций (за исключением частично закрытых кабельных галерей, прокладываемых снаружи зданий, сооружений)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2 Кабельные сооружения подстанций напряжением, кВ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2.1 500 и выше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2.2 Менее 500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21" w:name="P296"/>
            <w:bookmarkEnd w:id="21"/>
            <w:r>
              <w:t>3 Кабельные сооружения подстанций глубокого ввода напряжением 110 - 220 кВ с трансформаторами мощностью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3.1 63 МВА и выше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3.2 Менее 63 МВА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 Кабельные сооружения промышленных и общественных зданий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Более 100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и менее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5 Комбинированные тоннели производственных и общественных зданий при прокладке в них кабелей и проводов напряжением 220 В и выше: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5.1 Объемом более 100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12 шт.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От 5 до 12 шт.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5.2 Объемом 100 м</w:t>
            </w:r>
            <w:r>
              <w:rPr>
                <w:vertAlign w:val="superscript"/>
              </w:rPr>
              <w:t>3</w:t>
            </w:r>
            <w:r>
              <w:t xml:space="preserve"> и менее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5 шт. и более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6 Кабельные тоннели и полностью закрытые галереи (в том числе комбинированные), прокладываемые между промышленными зданиями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50 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7 Городские кабельные коллекторы и тоннели (в том числе комбинированные)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 и объема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8 Кабельные сооружения при прокладке в них маслонаполненных кабелей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9 Закрытые галереи, эстакады для </w:t>
            </w:r>
            <w:r>
              <w:lastRenderedPageBreak/>
              <w:t>транспортирования лесоматериалов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 xml:space="preserve">Независимо от </w:t>
            </w:r>
            <w:r>
              <w:lastRenderedPageBreak/>
              <w:t>длины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22" w:name="P329"/>
            <w:bookmarkEnd w:id="22"/>
            <w:r>
              <w:lastRenderedPageBreak/>
              <w:t xml:space="preserve">10 Пространства за подвесными потолками и между двойными полами при прокладке в них трубопроводов с изоляцией, выполненной из материалов группы горючести Г2 - Г4, а также кабелей (проводов), в том числе при их совместной прокладке: </w:t>
            </w:r>
            <w:hyperlink w:anchor="P346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23" w:name="P332"/>
            <w:bookmarkEnd w:id="23"/>
            <w:r>
              <w:t xml:space="preserve">10.1 Трубопроводов с изоляцией, выполненной из материалов группы горючести Г2 - Г4, независимо от массы данных материалов </w:t>
            </w:r>
            <w:hyperlink w:anchor="P3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 и объема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24" w:name="P335"/>
            <w:bookmarkEnd w:id="24"/>
            <w:r>
              <w:t xml:space="preserve">10.2 Кабелей (проводов) с объемом горючей массы 7 и более литров на метр кабельной линии (электропроводки) </w:t>
            </w:r>
            <w:hyperlink w:anchor="P3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 и объема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10.3 Кабелей (проводов) с объемом горючей массы от 1,5 до 7 л на метр кабельной линии (электропроводки)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 и объема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25" w:name="P341"/>
            <w:bookmarkEnd w:id="25"/>
            <w:r>
              <w:t xml:space="preserve">11 Мобильные (инвентарные) здания контейнерного типа для временного проживания людей (строительные бытовки, вагончики и пр.) </w:t>
            </w:r>
            <w:hyperlink w:anchor="P35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9059" w:type="dxa"/>
            <w:gridSpan w:val="3"/>
          </w:tcPr>
          <w:p w:rsidR="00CA2D55" w:rsidRDefault="00CA2D55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26" w:name="P345"/>
            <w:bookmarkEnd w:id="26"/>
            <w:r>
              <w:t>&lt;1&gt; Под кабельными сооружениями в настоящем своде правил понимаются тоннели, проходные шахты, этажи, двойные полы, галереи, камеры, используемые для прокладки кабелей (в том числе совместно с другими коммуникациями).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27" w:name="P346"/>
            <w:bookmarkEnd w:id="27"/>
            <w:r>
              <w:t xml:space="preserve">&lt;2&gt; Кабельные сооружения, пространства за подвесными потолками и между двойными полами автоматическими установками не оборудуются (за исключением </w:t>
            </w:r>
            <w:hyperlink w:anchor="P284" w:history="1">
              <w:r>
                <w:rPr>
                  <w:color w:val="0000FF"/>
                </w:rPr>
                <w:t>пунктов 1</w:t>
              </w:r>
            </w:hyperlink>
            <w:r>
              <w:t xml:space="preserve"> - </w:t>
            </w:r>
            <w:hyperlink w:anchor="P296" w:history="1">
              <w:r>
                <w:rPr>
                  <w:color w:val="0000FF"/>
                </w:rPr>
                <w:t>3</w:t>
              </w:r>
            </w:hyperlink>
            <w:r>
              <w:t xml:space="preserve"> настоящей таблицы):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r>
              <w:t>а) при прокладке кабелей (проводов) в стальных трубах или стальных сплошных коробах с открываемыми сплошными крышками;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r>
              <w:t xml:space="preserve">б) при прокладке трубопроводов с изоляцией, выполненной из материалов группы горючести НГ и Г1 (в соответствии с требованиями </w:t>
            </w:r>
            <w:hyperlink r:id="rId28" w:history="1">
              <w:r>
                <w:rPr>
                  <w:color w:val="0000FF"/>
                </w:rPr>
                <w:t>СП 7.13130</w:t>
              </w:r>
            </w:hyperlink>
            <w:r>
              <w:t xml:space="preserve"> воздуховоды допускается предусматривать только из материалов группы горючести НГ и Г1);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r>
              <w:t>в) при прокладке одиночных кабелей (проводов) для питания цепей освещения и организации структурированной кабельной сети;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r>
              <w:t>г) при прокладке кабелей (проводов) с общим объемом горючей массы менее 1,5 л на 1 м кабельной линии (электропроводки) за подвесными потолками, выполненными из материалов группы горючести НГ и Г1.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28" w:name="P351"/>
            <w:bookmarkEnd w:id="28"/>
            <w:r>
              <w:t xml:space="preserve">&lt;3&gt; Объем горючей массы изоляции кабелей (проводов) определяется по методике </w:t>
            </w:r>
            <w:hyperlink r:id="rId29" w:history="1">
              <w:r>
                <w:rPr>
                  <w:color w:val="0000FF"/>
                </w:rPr>
                <w:t>ГОСТ IEC 60332-3-22</w:t>
              </w:r>
            </w:hyperlink>
            <w:r>
              <w:t>.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29" w:name="P352"/>
            <w:bookmarkEnd w:id="29"/>
            <w:r>
              <w:t xml:space="preserve">&lt;4&gt; Требования </w:t>
            </w:r>
            <w:hyperlink w:anchor="P332" w:history="1">
              <w:r>
                <w:rPr>
                  <w:color w:val="0000FF"/>
                </w:rPr>
                <w:t>пунктов 10.1</w:t>
              </w:r>
            </w:hyperlink>
            <w:r>
              <w:t xml:space="preserve"> и </w:t>
            </w:r>
            <w:hyperlink w:anchor="P335" w:history="1">
              <w:r>
                <w:rPr>
                  <w:color w:val="0000FF"/>
                </w:rPr>
                <w:t>10.2</w:t>
              </w:r>
            </w:hyperlink>
            <w:r>
              <w:t xml:space="preserve"> настоящей таблицы (с учетом </w:t>
            </w:r>
            <w:hyperlink w:anchor="P346" w:history="1">
              <w:r>
                <w:rPr>
                  <w:color w:val="0000FF"/>
                </w:rPr>
                <w:t>примечания 2</w:t>
              </w:r>
            </w:hyperlink>
            <w:r>
              <w:t>) по применению АУП (в зависимости от характеристик пожарной нагрузки) распространяются на пространства за подвесными потолками, расположенные: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r>
              <w:t>в зданиях (помещениях), подлежащих в целом защите АУП;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r>
              <w:t>в эвакуационных коридорах, холлах, фойе, вестибюлях зданий любого назначения;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r>
              <w:t>в помещениях, рассчитанных на пребывание 50 и более человек;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r>
              <w:t>в зданиях (помещениях) классов функциональной пожарной опасности Ф1.1 и Ф4.1.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30" w:name="P357"/>
            <w:bookmarkEnd w:id="30"/>
            <w:r>
              <w:t xml:space="preserve">&lt;5&gt; Для отдельно стоящих строительных бытовок и вагончиков, а также для сгруппированных и расположенных не более чем в два уровня по высоте, при организации </w:t>
            </w:r>
            <w:r>
              <w:lastRenderedPageBreak/>
              <w:t>выхода непосредственно наружу из каждой бытовки (вагончика) допускается вместо СПС применять автономные дымовые пожарные извещатели.</w:t>
            </w:r>
          </w:p>
        </w:tc>
      </w:tr>
    </w:tbl>
    <w:p w:rsidR="00CA2D55" w:rsidRDefault="00CA2D55">
      <w:pPr>
        <w:pStyle w:val="ConsPlusNormal"/>
        <w:jc w:val="both"/>
      </w:pPr>
    </w:p>
    <w:p w:rsidR="00CA2D55" w:rsidRDefault="00CA2D55">
      <w:pPr>
        <w:pStyle w:val="ConsPlusTitle"/>
        <w:jc w:val="both"/>
        <w:outlineLvl w:val="2"/>
      </w:pPr>
      <w:bookmarkStart w:id="31" w:name="P359"/>
      <w:bookmarkEnd w:id="31"/>
      <w:r>
        <w:t>Таблица 3 - Помещения</w:t>
      </w:r>
    </w:p>
    <w:p w:rsidR="00CA2D55" w:rsidRDefault="00CA2D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9"/>
        <w:gridCol w:w="2429"/>
        <w:gridCol w:w="2041"/>
      </w:tblGrid>
      <w:tr w:rsidR="00CA2D55">
        <w:tc>
          <w:tcPr>
            <w:tcW w:w="4589" w:type="dxa"/>
            <w:vMerge w:val="restart"/>
          </w:tcPr>
          <w:p w:rsidR="00CA2D55" w:rsidRDefault="00CA2D55">
            <w:pPr>
              <w:pStyle w:val="ConsPlusNormal"/>
              <w:jc w:val="center"/>
            </w:pPr>
            <w:r>
              <w:t>Объект защиты</w:t>
            </w:r>
          </w:p>
        </w:tc>
        <w:tc>
          <w:tcPr>
            <w:tcW w:w="2429" w:type="dxa"/>
          </w:tcPr>
          <w:p w:rsidR="00CA2D55" w:rsidRDefault="00CA2D55">
            <w:pPr>
              <w:pStyle w:val="ConsPlusNormal"/>
              <w:jc w:val="center"/>
            </w:pPr>
            <w:r>
              <w:t>АУП</w:t>
            </w:r>
          </w:p>
        </w:tc>
        <w:tc>
          <w:tcPr>
            <w:tcW w:w="2041" w:type="dxa"/>
          </w:tcPr>
          <w:p w:rsidR="00CA2D55" w:rsidRDefault="00CA2D55">
            <w:pPr>
              <w:pStyle w:val="ConsPlusNormal"/>
              <w:jc w:val="center"/>
            </w:pPr>
            <w:r>
              <w:t>СПС</w:t>
            </w:r>
          </w:p>
        </w:tc>
      </w:tr>
      <w:tr w:rsidR="00CA2D55">
        <w:tc>
          <w:tcPr>
            <w:tcW w:w="4589" w:type="dxa"/>
            <w:vMerge/>
          </w:tcPr>
          <w:p w:rsidR="00CA2D55" w:rsidRDefault="00CA2D55"/>
        </w:tc>
        <w:tc>
          <w:tcPr>
            <w:tcW w:w="4470" w:type="dxa"/>
            <w:gridSpan w:val="2"/>
          </w:tcPr>
          <w:p w:rsidR="00CA2D55" w:rsidRDefault="00CA2D55">
            <w:pPr>
              <w:pStyle w:val="ConsPlusNormal"/>
              <w:jc w:val="center"/>
            </w:pPr>
            <w:r>
              <w:t>Нормативный показатель</w:t>
            </w:r>
          </w:p>
        </w:tc>
      </w:tr>
      <w:tr w:rsidR="00CA2D55">
        <w:tc>
          <w:tcPr>
            <w:tcW w:w="9059" w:type="dxa"/>
            <w:gridSpan w:val="3"/>
          </w:tcPr>
          <w:p w:rsidR="00CA2D55" w:rsidRDefault="00CA2D55">
            <w:pPr>
              <w:pStyle w:val="ConsPlusNormal"/>
              <w:jc w:val="center"/>
              <w:outlineLvl w:val="3"/>
            </w:pPr>
            <w:r>
              <w:t xml:space="preserve">Помещения складского назначения </w:t>
            </w:r>
            <w:hyperlink w:anchor="P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 Категории А и Б по взрывопожарной опасности (кроме помещений, расположенных в зданиях и сооружениях по переработке и хранению зерна)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32" w:name="P369"/>
            <w:bookmarkEnd w:id="32"/>
            <w:r>
              <w:t>2 Для хранения каучука, целлулоида и изделий из него, спичек, щелочных металлов, пиротехнических изделий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33" w:name="P372"/>
            <w:bookmarkEnd w:id="33"/>
            <w:r>
              <w:t>3 Для хранения шерсти, меха и изделий из них; горючих материалов с малой (менее 3 кг/м</w:t>
            </w:r>
            <w:r>
              <w:rPr>
                <w:vertAlign w:val="superscript"/>
              </w:rPr>
              <w:t>3</w:t>
            </w:r>
            <w:r>
              <w:t>) насыпной плотностью (стационарных аэровзвесей); фото-, кино-, аудиопленки на горючей основе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4 Категории В1 по пожарной опасности (кроме указанных в </w:t>
            </w:r>
            <w:hyperlink w:anchor="P36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w:anchor="P372" w:history="1">
              <w:r>
                <w:rPr>
                  <w:color w:val="0000FF"/>
                </w:rPr>
                <w:t>3</w:t>
              </w:r>
            </w:hyperlink>
            <w:r>
              <w:t xml:space="preserve"> настоящей таблицы и помещений, расположенных в зданиях и сооружениях по переработке и хранению зерна) при их размещении: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4.1 В цокольном, заглубленном более чем на 0,5 м, и подвальном этажах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4.2 В надземных этажах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5 Категорий В2 - В3 по пожарной опасности (кроме указанных в </w:t>
            </w:r>
            <w:hyperlink w:anchor="P36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w:anchor="P372" w:history="1">
              <w:r>
                <w:rPr>
                  <w:color w:val="0000FF"/>
                </w:rPr>
                <w:t>3</w:t>
              </w:r>
            </w:hyperlink>
            <w:r>
              <w:t xml:space="preserve"> настоящей таблицы и помещений, расположенных в зданиях и сооружениях по переработке и хранению зерна) при их размещении: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5.1 В цокольном, заглубленном более чем на 0,5 м, и подвальном этажах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5.2 В надземных этажах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1000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6 Помещения охлаждаемых (холодильных) камер промышленных холодильников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9059" w:type="dxa"/>
            <w:gridSpan w:val="3"/>
          </w:tcPr>
          <w:p w:rsidR="00CA2D55" w:rsidRDefault="00CA2D55">
            <w:pPr>
              <w:pStyle w:val="ConsPlusNormal"/>
              <w:jc w:val="center"/>
              <w:outlineLvl w:val="3"/>
            </w:pPr>
            <w:r>
              <w:t>Производственные помещения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7 Категории А и Б по взрывопожарной опасности с обращением </w:t>
            </w:r>
            <w:r>
              <w:lastRenderedPageBreak/>
              <w:t xml:space="preserve">легковоспламеняющихся и горючих жидкостей, сжиженных горючих газов, горючих пылей и волокон (кроме указанных в </w:t>
            </w:r>
            <w:hyperlink w:anchor="P448" w:history="1">
              <w:r>
                <w:rPr>
                  <w:color w:val="0000FF"/>
                </w:rPr>
                <w:t>пункте 11</w:t>
              </w:r>
            </w:hyperlink>
            <w:r>
              <w:t xml:space="preserve"> настоящей таблицы и помещений, расположенных в зданиях и сооружениях по переработке и хранению зерна):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lastRenderedPageBreak/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7.1 Производственные помещения категории А по взрывопожарной опасности с обращением только горючих газов (за исключением сжиженных горючих газов) при отсутствии иной пожарной нагрузки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7.2 Производственные помещения категории А по взрывопожарной опасности с обращением горючих газов (за исключением сжиженных горючих газов) при наличии иной пожарной нагрузки в помещении. При величине удельной пожарной нагрузки: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7.2.1 Более 2200 МДж/м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7.2.2 От 181 до 2200 МДж/м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1000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7.2.3 180 МДж/м</w:t>
            </w:r>
            <w:r>
              <w:rPr>
                <w:vertAlign w:val="superscript"/>
              </w:rPr>
              <w:t>2</w:t>
            </w:r>
            <w:r>
              <w:t xml:space="preserve"> и менее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8 С наличием щелочных металлов при размещении: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8.1 В цокольном этаже, заглубленном более чем на 0,5 м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8.2 В надземных этажах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500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500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9 Категории В1 по пожарной опасности (кроме помещений, расположенных в зданиях и сооружениях по переработке и хранению зерна) при размещении: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9.1 В цокольном, заглубленном более нем на 0,5 м, и подвальном этажах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9.2 В надземных этажах (кроме указанных в </w:t>
            </w:r>
            <w:hyperlink w:anchor="P448" w:history="1">
              <w:r>
                <w:rPr>
                  <w:color w:val="0000FF"/>
                </w:rPr>
                <w:t>пунктах 11</w:t>
              </w:r>
            </w:hyperlink>
            <w:r>
              <w:t xml:space="preserve"> - </w:t>
            </w:r>
            <w:hyperlink w:anchor="P470" w:history="1">
              <w:r>
                <w:rPr>
                  <w:color w:val="0000FF"/>
                </w:rPr>
                <w:t>18</w:t>
              </w:r>
            </w:hyperlink>
            <w:r>
              <w:t xml:space="preserve"> настоящей таблицы)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34" w:name="P433"/>
            <w:bookmarkEnd w:id="34"/>
            <w:r>
              <w:t xml:space="preserve">10 Категории В2 - В3 по пожарной опасности (кроме указанных в </w:t>
            </w:r>
            <w:hyperlink w:anchor="P433" w:history="1">
              <w:r>
                <w:rPr>
                  <w:color w:val="0000FF"/>
                </w:rPr>
                <w:t>пунктах 10</w:t>
              </w:r>
            </w:hyperlink>
            <w:r>
              <w:t xml:space="preserve"> - </w:t>
            </w:r>
            <w:hyperlink w:anchor="P470" w:history="1">
              <w:r>
                <w:rPr>
                  <w:color w:val="0000FF"/>
                </w:rPr>
                <w:t>18</w:t>
              </w:r>
            </w:hyperlink>
            <w:r>
              <w:t xml:space="preserve"> настоящей таблицы и помещений, расположенных в зданиях и сооружениях по переработке и хранению зерна) при их размещении: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10.1 В цокольном, заглубленном более чем на 0,5 м, и подвальном этажах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10.1.1 Не имеющие выходов непосредственно </w:t>
            </w:r>
            <w:r>
              <w:lastRenderedPageBreak/>
              <w:t>наружу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lastRenderedPageBreak/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10.1.2 При наличии выходов непосредственно наружу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700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700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10.2 В надземных этажах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1000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35" w:name="P448"/>
            <w:bookmarkEnd w:id="35"/>
            <w:r>
              <w:t>11 Маслоподвалы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12 Помещения приготовления: суспензии из алюминиевой пудры, резиновых клеев; на основе ЛВЖ и ГЖ: лаков, красок, клеев, мастик, пропиточных составов; помещения окрасочных, полимеризации синтетического каучука, огневых подогревателей нефти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13 Помещения высоковольтных испытательных залов, экранированные горючими материалами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14 Помещения для размещения оборудования АСУ ТП, работающего в системах управления сложными технологическими процессами, нарушение которых влияет на безопасность людей </w:t>
            </w:r>
            <w:hyperlink w:anchor="P62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9059" w:type="dxa"/>
            <w:gridSpan w:val="3"/>
          </w:tcPr>
          <w:p w:rsidR="00CA2D55" w:rsidRDefault="00CA2D55">
            <w:pPr>
              <w:pStyle w:val="ConsPlusNormal"/>
              <w:jc w:val="center"/>
              <w:outlineLvl w:val="3"/>
            </w:pPr>
            <w:r>
              <w:t>Помещения связи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15 Вентиляционные, трансформаторные помещения разделительных устройств: передающих радиостанций мощностью передатчиков 150 кВт и выше, приемных радиостанций с числом приемников от 20, стационарных станций космической связи с мощностью передающего устройства более 1 кВт, ретрансляционных телевизионных станций мощностью передатчиков 25 - 50 кВт, сетевых узлов, междугородных и городских телефонных станций, телеграфных станций, оконечных усилительных пунктов и районных узлов связи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36" w:name="P464"/>
            <w:bookmarkEnd w:id="36"/>
            <w:r>
              <w:t>16 Необслуживаемые и обслуживаемые без вечерних и ночных смен: технические цеха оконечных усилительных пунктов, промежуточных радиорелейных станций, передающих и приемных радиоцентров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17 Необслуживаемые аппаратные базовых станций сотовой системы подвижной радиосвязи и аппаратные радиорелейных станций сотовой системы подвижной радиосвязи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24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24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37" w:name="P470"/>
            <w:bookmarkEnd w:id="37"/>
            <w:r>
              <w:t xml:space="preserve">18 Помещения главных касс, помещения бюро </w:t>
            </w:r>
            <w:r>
              <w:lastRenderedPageBreak/>
              <w:t>контроля переводов и зональных вычислительных центров почтамтов, городских и районных узлов почтовой связи общим объемом зданий;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18.1 40 тыс. 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24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24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18.2 Менее 40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19 Автозалы АТС, в которых устанавливается коммутационное оборудование квазиэлектронного и электронного типов совместно с ЭВМ, используемой в качестве управляющего комплекса, устройствами ввода-вывода, помещения электронных коммутационных станций, узлов, центров документальной электросвязи емкостью: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19.1 10 тыс. и более номеров, каналов или точек подключения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19.2 Менее 10 тыс. номеров, каналов или точек подключения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20 Выделенные помещения управляющих устройств на основе ЭВМ автоматических междугородных телефонных станций при емкости станций: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20.1 10 тыс. междугородных каналов и более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24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24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20.2 Менее 10 тыс. междугородных каналов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38" w:name="P497"/>
            <w:bookmarkEnd w:id="38"/>
            <w:r>
              <w:t>21 Помещения обработки, сортировки, хранения и доставки посылок, письменной корреспонденции, периодической печати, страховой почты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500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500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9059" w:type="dxa"/>
            <w:gridSpan w:val="3"/>
          </w:tcPr>
          <w:p w:rsidR="00CA2D55" w:rsidRDefault="00CA2D55">
            <w:pPr>
              <w:pStyle w:val="ConsPlusNormal"/>
              <w:jc w:val="center"/>
              <w:outlineLvl w:val="3"/>
            </w:pPr>
            <w:r>
              <w:t>Помещения транспорта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22 Помещения железнодорожного транспорта</w:t>
            </w:r>
          </w:p>
        </w:tc>
        <w:tc>
          <w:tcPr>
            <w:tcW w:w="4470" w:type="dxa"/>
            <w:gridSpan w:val="2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 xml:space="preserve">По </w:t>
            </w:r>
            <w:hyperlink r:id="rId30" w:history="1">
              <w:r>
                <w:rPr>
                  <w:color w:val="0000FF"/>
                </w:rPr>
                <w:t>СП 153.13130</w:t>
              </w:r>
            </w:hyperlink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23 Помещения и сооружения метрополитенов</w:t>
            </w:r>
          </w:p>
        </w:tc>
        <w:tc>
          <w:tcPr>
            <w:tcW w:w="4470" w:type="dxa"/>
            <w:gridSpan w:val="2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 xml:space="preserve">По </w:t>
            </w:r>
            <w:hyperlink r:id="rId31" w:history="1">
              <w:r>
                <w:rPr>
                  <w:color w:val="0000FF"/>
                </w:rPr>
                <w:t>СП 120.13330</w:t>
              </w:r>
            </w:hyperlink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24 Помещения контрольно-диспетчерского пункта с автоматической системой, центра коммутации сообщений, дальних и ближних приводных радиостанций с радиомаркерами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25 Помещения демонтажа и монтажа авиадвигателей, воздушных винтов, шасси и колес самолетов и вертолетов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26 Помещения самолетного и </w:t>
            </w:r>
            <w:r>
              <w:lastRenderedPageBreak/>
              <w:t>двигателеремонтного производств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lastRenderedPageBreak/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27 Помещения для хранения транспортных средств, размещаемые в зданиях иного назначения (за исключением индивидуальных жилых домов), при их расположении: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27.1 В цокольных, заглубленных более чем на 0,5 м, подвальных и подземных этажах (в том числе под мостами)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27.2 В надземных этажах </w:t>
            </w:r>
            <w:hyperlink w:anchor="P63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хранении 3 и более автомобилей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28 Производственные, складские, а также технические помещения для инженерного оборудования зданий и сооружений для обслуживания автомобилей</w:t>
            </w:r>
          </w:p>
        </w:tc>
        <w:tc>
          <w:tcPr>
            <w:tcW w:w="4470" w:type="dxa"/>
            <w:gridSpan w:val="2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 xml:space="preserve">По </w:t>
            </w:r>
            <w:hyperlink r:id="rId32" w:history="1">
              <w:r>
                <w:rPr>
                  <w:color w:val="0000FF"/>
                </w:rPr>
                <w:t>СП 364.1311500</w:t>
              </w:r>
            </w:hyperlink>
          </w:p>
        </w:tc>
      </w:tr>
      <w:tr w:rsidR="00CA2D55">
        <w:tc>
          <w:tcPr>
            <w:tcW w:w="9059" w:type="dxa"/>
            <w:gridSpan w:val="3"/>
          </w:tcPr>
          <w:p w:rsidR="00CA2D55" w:rsidRDefault="00CA2D55">
            <w:pPr>
              <w:pStyle w:val="ConsPlusNormal"/>
              <w:jc w:val="center"/>
              <w:outlineLvl w:val="3"/>
            </w:pPr>
            <w:r>
              <w:t>Общественные помещения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39" w:name="P526"/>
            <w:bookmarkEnd w:id="39"/>
            <w:r>
              <w:t>29 Помещения хранения и выдачи уникальных изданий, отчетов, рукописей и другой документации особой ценности (в том числе архивов операционных отделов)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30 Помещения хранилищ и помещения хранения служебных каталогов и описей в библиотеках и архивах с общим фондом хранения: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30.1 500 тыс. единиц и более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30.2 Менее 500 тыс. единиц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40" w:name="P538"/>
            <w:bookmarkEnd w:id="40"/>
            <w:r>
              <w:t xml:space="preserve">31 Выставочные залы </w:t>
            </w:r>
            <w:hyperlink w:anchor="P63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1000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41" w:name="P541"/>
            <w:bookmarkEnd w:id="41"/>
            <w:r>
              <w:t xml:space="preserve">32 Помещения хранения музейных ценностей </w:t>
            </w:r>
            <w:hyperlink w:anchor="P63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33 В зданиях культурно-зрелищного назначения (театры, клубы, концертные и киноконцертные залы, филармонии, дома культуры, цирки) со сценой (манежем в цирке) и зрительным залом: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33.1 При вместимости зала более 700 мест </w:t>
            </w:r>
            <w:hyperlink w:anchor="P633" w:history="1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3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33.2 При вместимости зала более 400 мест и площади сцены более 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hyperlink w:anchor="P633" w:history="1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3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33.3 Склады декораций, бутафории и реквизита, столярные мастерские, фуражные, инвентарные и хозяйственные кладовые, </w:t>
            </w:r>
            <w:r>
              <w:lastRenderedPageBreak/>
              <w:t>помещения хранения и изготовления рекламы, помещения производственного назначения и обслуживания сцены, помещения для животных, чердачное подкупольное пространство над зрительным залом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lastRenderedPageBreak/>
              <w:t>Независимо от площади при вместимости зала более 400 мест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34 Помещения хранилищ ценностей: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34.1 В банках</w:t>
            </w:r>
          </w:p>
        </w:tc>
        <w:tc>
          <w:tcPr>
            <w:tcW w:w="4470" w:type="dxa"/>
            <w:gridSpan w:val="2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 xml:space="preserve">По </w:t>
            </w:r>
            <w:hyperlink w:anchor="P685" w:history="1">
              <w:r>
                <w:rPr>
                  <w:color w:val="0000FF"/>
                </w:rPr>
                <w:t>[2]</w:t>
              </w:r>
            </w:hyperlink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34.2 В ломбардах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42" w:name="P564"/>
            <w:bookmarkEnd w:id="42"/>
            <w:r>
              <w:t>35 Съемочные павильоны киностудий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1000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36 Помещения (камеры) хранения багажа ручной клади (кроме оборудованных автоматическими ячейками) и склады горючих материалов в зданиях вокзалов (в том числе аэровокзалов) в этажах: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36.1 В цокольном, заглубленном более чем на 0,5 м, и подвальном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36.2 В надземных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37 Помещения для хранения горючих материалов или негорючих материалов в горючей упаковке при их расположении: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37.1 Под трибунами любой вместимости в крытых спортивных сооружениях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100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37.2 В зданиях крытых спортивных сооружений вместимостью 800 и более зрителей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100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37.3 Под трибунами вместимостью 3 тыс. и более зрителей при открытых спортивных сооружениях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100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38 Специализированные помещения для размещения серверов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24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Менее 24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43" w:name="P591"/>
            <w:bookmarkEnd w:id="43"/>
            <w:r>
              <w:t>39 Помещения предприятий торговли, встроенные и встроенно-пристроенные в здания другого назначения: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39.1 Цокольные, заглубленные более чем на 0,5 м, и подвальные этажи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Общей площадью 200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Общей площадью менее 200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39.2 Надземные этажи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Общей площадью 500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Общей площадью менее 500 м</w:t>
            </w:r>
            <w:r>
              <w:rPr>
                <w:vertAlign w:val="superscript"/>
              </w:rPr>
              <w:t>2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40 Помещения производственного и складского назначения категории В4 по пожарной опасности, расположенные в зданиях классов функциональной пожарной </w:t>
            </w:r>
            <w:r>
              <w:lastRenderedPageBreak/>
              <w:t>опасности Ф1.1, Ф1.2, Ф2.1, Ф4.1 и Ф4.2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41 Помещения для размещения детских игровых зон (кроме помещений в зданиях дошкольных образовательных организаций) с применением материалов групп горючести Г2 - Г4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При площади зоны 50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42 Чердаки в зданиях классов функциональной пожарной опасности Ф1.1, Ф1.2, Ф2.1, Ф4.1 и Ф4.2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43 Помещения класса функциональной пожарной опасности Ф3.2, размещаемые в подвальных этажах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Общей площадью 200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44 Помещения детских дошкольных учреждений и организаций, встроенные в здания иного назначения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45 Помещения для предоставления гостиничных услуг, встроенные в здания иного назначения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46 Мусоросборные камеры жилых многоквартирных зданий </w:t>
            </w:r>
            <w:hyperlink w:anchor="P63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47 Помещения производственного и складского назначения, расположенные в научно-исследовательских учреждениях и других общественных зданиях</w:t>
            </w:r>
          </w:p>
        </w:tc>
        <w:tc>
          <w:tcPr>
            <w:tcW w:w="4470" w:type="dxa"/>
            <w:gridSpan w:val="2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Оборудуются согласно соответствующим разделам таблицы 3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bookmarkStart w:id="44" w:name="P623"/>
            <w:bookmarkEnd w:id="44"/>
            <w:r>
              <w:t>48 Помещения иного административного, административно-бытового и общественного назначения, в том числе встроенные и пристроенные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9059" w:type="dxa"/>
            <w:gridSpan w:val="3"/>
          </w:tcPr>
          <w:p w:rsidR="00CA2D55" w:rsidRDefault="00CA2D55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45" w:name="P627"/>
            <w:bookmarkEnd w:id="45"/>
            <w:r>
              <w:t xml:space="preserve">&lt;1&gt; Дополнительные требования по защите помещений складов нефти и нефтепродуктов изложены в </w:t>
            </w:r>
            <w:hyperlink r:id="rId33" w:history="1">
              <w:r>
                <w:rPr>
                  <w:color w:val="0000FF"/>
                </w:rPr>
                <w:t>СП 155.13130</w:t>
              </w:r>
            </w:hyperlink>
            <w:r>
              <w:t>.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46" w:name="P628"/>
            <w:bookmarkEnd w:id="46"/>
            <w:r>
              <w:t xml:space="preserve">&lt;2&gt; В указанных помещениях допускается не применять АУП для помещения в целом, при условии, что все электронное и электротехническое оборудование (включая оборудование АСУ ТП) защищено автоматическими установками локального пожаротушения или автономными установками пожаротушения, а в помещениях установлена система пожарной сигнализации. При этом защита кабельных соединительных линий в указанных помещениях может быть осуществлена конструктивными методами, а при их нахождении за подвесными потолками или между двойными полами следует руководствоваться </w:t>
            </w:r>
            <w:hyperlink w:anchor="P341" w:history="1">
              <w:r>
                <w:rPr>
                  <w:color w:val="0000FF"/>
                </w:rPr>
                <w:t>пунктом 11 таблицы 2</w:t>
              </w:r>
            </w:hyperlink>
            <w:r>
              <w:t>.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47" w:name="P629"/>
            <w:bookmarkEnd w:id="47"/>
            <w:r>
              <w:t>&lt;3&gt; Для защиты указанных помещений должны применяться АУП, не вызывающие повреждение или сбои в работе защищаемого оборудования при ложном срабатывании.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48" w:name="P630"/>
            <w:bookmarkEnd w:id="48"/>
            <w:r>
              <w:t xml:space="preserve">&lt;4&gt;. При размещении автомобилей в выставочных и торговых залах помещения данных выставочных и торговых залов оборудуются АУП в соответствии с </w:t>
            </w:r>
            <w:hyperlink w:anchor="P538" w:history="1">
              <w:r>
                <w:rPr>
                  <w:color w:val="0000FF"/>
                </w:rPr>
                <w:t>пунктами 31</w:t>
              </w:r>
            </w:hyperlink>
            <w:r>
              <w:t xml:space="preserve"> и </w:t>
            </w:r>
            <w:hyperlink w:anchor="P591" w:history="1">
              <w:r>
                <w:rPr>
                  <w:color w:val="0000FF"/>
                </w:rPr>
                <w:t>39</w:t>
              </w:r>
            </w:hyperlink>
            <w:r>
              <w:t xml:space="preserve"> настоящей таблицы соответственно.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49" w:name="P631"/>
            <w:bookmarkEnd w:id="49"/>
            <w:r>
              <w:t>&lt;5&gt; Данное требование не распространяется на помещения, временно используемые для выставок (фойе, вестибюли и т.д.), а также на помещения, в которых хранение ценностей производится в металлических сейфах.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r>
              <w:lastRenderedPageBreak/>
              <w:t>На объектах культурного наследия (памятниках истории и культуры) народов Российской Федерации допускается не применять АУП для помещения в целом, при условии, что помещение защищается автоматическими установками локального пожаротушения или автономными установками пожаротушения.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50" w:name="P633"/>
            <w:bookmarkEnd w:id="50"/>
            <w:r>
              <w:t>&lt;6&gt;. Дренчерные оросители устанавливаются под колосниками сцены и арьерсцены, под нижним ярусом рабочих галерей и соединяющими их нижними переходными мостиками, в сейфах скатанных декораций и во всех проемах сцены, включая проемы портала, карманов и арьерсцены, а также части трюма, занятой конструкциями встроенного оборудования сцены и подъемно-опускных устройств.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51" w:name="P634"/>
            <w:bookmarkEnd w:id="51"/>
            <w:r>
              <w:t>&lt;7&gt;. Спринклерными установками оборудуются: покрытия сцены и арьерсцены, все рабочие галереи и переходные мостики (кроме нижних), трюм (кроме встроенного оборудования сцены), карманы сцены, арьерсцена, а также складские помещения, кладовые, мастерские, помещения станковых и объемных декораций, камера пылеудаления, фуражные, инвентарные и хозяйственные кладовые, помещения производственного назначения и обслуживания сцены, помещения для животных, чердачное подкупольное пространство над зрительным залом.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52" w:name="P635"/>
            <w:bookmarkEnd w:id="52"/>
            <w:r>
              <w:t>&lt;8&gt;. В многоквартирных жилых зданиях мусоросборная камера должна быть защищена по всей площади спринклерными оросителями. Участок распределительного трубопровода оросителей должен быть кольцевым, подключенным к сети хозяйственно-питьевого водопровода многоквартирного здания и оснащенным теплоизоляцией из негорючих материалов.</w:t>
            </w:r>
          </w:p>
        </w:tc>
      </w:tr>
    </w:tbl>
    <w:p w:rsidR="00CA2D55" w:rsidRDefault="00CA2D55">
      <w:pPr>
        <w:pStyle w:val="ConsPlusNormal"/>
        <w:jc w:val="both"/>
      </w:pPr>
    </w:p>
    <w:p w:rsidR="00CA2D55" w:rsidRDefault="00CA2D55">
      <w:pPr>
        <w:pStyle w:val="ConsPlusTitle"/>
        <w:jc w:val="both"/>
        <w:outlineLvl w:val="2"/>
      </w:pPr>
      <w:bookmarkStart w:id="53" w:name="P637"/>
      <w:bookmarkEnd w:id="53"/>
      <w:r>
        <w:t>Таблица 4 - Оборудование</w:t>
      </w:r>
    </w:p>
    <w:p w:rsidR="00CA2D55" w:rsidRDefault="00CA2D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9"/>
        <w:gridCol w:w="2429"/>
        <w:gridCol w:w="2041"/>
      </w:tblGrid>
      <w:tr w:rsidR="00CA2D55">
        <w:tc>
          <w:tcPr>
            <w:tcW w:w="4589" w:type="dxa"/>
            <w:vMerge w:val="restart"/>
          </w:tcPr>
          <w:p w:rsidR="00CA2D55" w:rsidRDefault="00CA2D55">
            <w:pPr>
              <w:pStyle w:val="ConsPlusNormal"/>
              <w:jc w:val="center"/>
            </w:pPr>
            <w:r>
              <w:t>Объект защиты</w:t>
            </w:r>
          </w:p>
        </w:tc>
        <w:tc>
          <w:tcPr>
            <w:tcW w:w="2429" w:type="dxa"/>
          </w:tcPr>
          <w:p w:rsidR="00CA2D55" w:rsidRDefault="00CA2D55">
            <w:pPr>
              <w:pStyle w:val="ConsPlusNormal"/>
              <w:jc w:val="center"/>
            </w:pPr>
            <w:r>
              <w:t>АУП</w:t>
            </w:r>
          </w:p>
        </w:tc>
        <w:tc>
          <w:tcPr>
            <w:tcW w:w="2041" w:type="dxa"/>
          </w:tcPr>
          <w:p w:rsidR="00CA2D55" w:rsidRDefault="00CA2D55">
            <w:pPr>
              <w:pStyle w:val="ConsPlusNormal"/>
              <w:jc w:val="center"/>
            </w:pPr>
            <w:r>
              <w:t>СПС</w:t>
            </w:r>
          </w:p>
        </w:tc>
      </w:tr>
      <w:tr w:rsidR="00CA2D55">
        <w:tc>
          <w:tcPr>
            <w:tcW w:w="4589" w:type="dxa"/>
            <w:vMerge/>
          </w:tcPr>
          <w:p w:rsidR="00CA2D55" w:rsidRDefault="00CA2D55"/>
        </w:tc>
        <w:tc>
          <w:tcPr>
            <w:tcW w:w="4470" w:type="dxa"/>
            <w:gridSpan w:val="2"/>
          </w:tcPr>
          <w:p w:rsidR="00CA2D55" w:rsidRDefault="00CA2D55">
            <w:pPr>
              <w:pStyle w:val="ConsPlusNormal"/>
              <w:jc w:val="center"/>
            </w:pPr>
            <w:r>
              <w:t>Нормативный показатель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1 Окрасочные камеры с применением ЛВЖ и ГЖ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типа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2 Сушильные камеры (кроме камер с влажностью внутреннего воздуха свыше 60% при температуре свыше 24 °C)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типа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3 Циклоны (бункеры) для сбора горючих отходов </w:t>
            </w:r>
            <w:hyperlink w:anchor="P6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типа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 Масляные силовые трансформаторы и реакторы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4.1 Напряжением 500 кВ и выше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мощности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4.2 Напряжением 220 - 330 кВ и выше, мощностью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200 МВА и выше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4.3 Напряжением 110 кВ и выше, установленные у здания гидроэлектростанций, с единичной мощностью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63 МВА и выше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4.4 Напряжением 110 кВ и выше, установленные в камерах закрытых подстанций глубокого ввода и в закрытых </w:t>
            </w:r>
            <w:r>
              <w:lastRenderedPageBreak/>
              <w:t>распределительных установках электростанций и подстанций, мощностью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lastRenderedPageBreak/>
              <w:t>63 МВА и выше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 xml:space="preserve">5 Испытательные станции, передвижные электростанции и агрегаты с дизель- и бензоэлектрическими агрегатами, смонтированными на автомашинах и прицепах </w:t>
            </w:r>
            <w:hyperlink w:anchor="P6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6 Стеллажи высотой более 5,5 м для хранения горючих материалов и негорючих материалов в горючей упаковке в зданиях любого назначения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7 Масляные емкости для закаливания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</w:tr>
      <w:tr w:rsidR="00CA2D55">
        <w:tc>
          <w:tcPr>
            <w:tcW w:w="4589" w:type="dxa"/>
          </w:tcPr>
          <w:p w:rsidR="00CA2D55" w:rsidRDefault="00CA2D55">
            <w:pPr>
              <w:pStyle w:val="ConsPlusNormal"/>
              <w:jc w:val="both"/>
            </w:pPr>
            <w:r>
              <w:t>8 Охлаждаемые (холодильные) камеры заводского изготовления с возможностью пребывания в них людей, размещаемые в помещениях</w:t>
            </w:r>
          </w:p>
        </w:tc>
        <w:tc>
          <w:tcPr>
            <w:tcW w:w="2429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A2D55" w:rsidRDefault="00CA2D55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CA2D55">
        <w:tc>
          <w:tcPr>
            <w:tcW w:w="9059" w:type="dxa"/>
            <w:gridSpan w:val="3"/>
          </w:tcPr>
          <w:p w:rsidR="00CA2D55" w:rsidRDefault="00CA2D55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CA2D55" w:rsidRDefault="00CA2D55">
            <w:pPr>
              <w:pStyle w:val="ConsPlusNormal"/>
              <w:ind w:firstLine="283"/>
              <w:jc w:val="both"/>
            </w:pPr>
            <w:bookmarkStart w:id="54" w:name="P680"/>
            <w:bookmarkEnd w:id="54"/>
            <w:r>
              <w:t>&lt;1&gt; Допускается вместо АУП применять автономные установки пожаротушения.</w:t>
            </w:r>
          </w:p>
        </w:tc>
      </w:tr>
    </w:tbl>
    <w:p w:rsidR="00CA2D55" w:rsidRDefault="00CA2D55">
      <w:pPr>
        <w:pStyle w:val="ConsPlusNormal"/>
        <w:jc w:val="both"/>
      </w:pPr>
    </w:p>
    <w:p w:rsidR="00CA2D55" w:rsidRDefault="00CA2D55">
      <w:pPr>
        <w:pStyle w:val="ConsPlusTitle"/>
        <w:jc w:val="center"/>
        <w:outlineLvl w:val="1"/>
      </w:pPr>
      <w:r>
        <w:t>Библиография</w:t>
      </w: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ind w:firstLine="540"/>
        <w:jc w:val="both"/>
      </w:pPr>
      <w:bookmarkStart w:id="55" w:name="P684"/>
      <w:bookmarkEnd w:id="55"/>
      <w:r>
        <w:t xml:space="preserve">[1]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22.07.2008 N 123-ФЗ "Технический регламент о требованиях пожарной безопасности"</w:t>
      </w:r>
    </w:p>
    <w:p w:rsidR="00CA2D55" w:rsidRDefault="00CA2D55">
      <w:pPr>
        <w:pStyle w:val="ConsPlusNormal"/>
        <w:spacing w:before="220"/>
        <w:ind w:firstLine="540"/>
        <w:jc w:val="both"/>
      </w:pPr>
      <w:bookmarkStart w:id="56" w:name="P685"/>
      <w:bookmarkEnd w:id="56"/>
      <w:r>
        <w:t xml:space="preserve">[2] </w:t>
      </w:r>
      <w:hyperlink r:id="rId35" w:history="1">
        <w:r>
          <w:rPr>
            <w:color w:val="0000FF"/>
          </w:rPr>
          <w:t>ВНП 001-01/Банк России</w:t>
        </w:r>
      </w:hyperlink>
      <w:r>
        <w:t xml:space="preserve"> "Здания территориальных главных управлений, национальных банков и расчетно-кассовых центров Центрального банка Российской Федерации"</w:t>
      </w:r>
    </w:p>
    <w:p w:rsidR="00CA2D55" w:rsidRDefault="00CA2D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5"/>
        <w:gridCol w:w="4109"/>
      </w:tblGrid>
      <w:tr w:rsidR="00CA2D55">
        <w:tc>
          <w:tcPr>
            <w:tcW w:w="4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2D55" w:rsidRDefault="00CA2D5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УДК</w:t>
              </w:r>
            </w:hyperlink>
            <w:r>
              <w:t xml:space="preserve"> 614.841.45:629.114.6:006.354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D55" w:rsidRDefault="00CA2D55">
            <w:pPr>
              <w:pStyle w:val="ConsPlusNormal"/>
              <w:jc w:val="both"/>
            </w:pPr>
            <w:r>
              <w:t xml:space="preserve">ОКС </w:t>
            </w:r>
            <w:hyperlink r:id="rId37" w:history="1">
              <w:r>
                <w:rPr>
                  <w:color w:val="0000FF"/>
                </w:rPr>
                <w:t>13.220.01</w:t>
              </w:r>
            </w:hyperlink>
          </w:p>
        </w:tc>
      </w:tr>
      <w:tr w:rsidR="00CA2D55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D55" w:rsidRDefault="00CA2D55">
            <w:pPr>
              <w:pStyle w:val="ConsPlusNormal"/>
              <w:jc w:val="both"/>
            </w:pPr>
            <w:r>
              <w:t>Ключевые слова: автоматическая установка пожаротушения, система пожарной сигнализации, объекты защиты</w:t>
            </w:r>
          </w:p>
        </w:tc>
      </w:tr>
    </w:tbl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jc w:val="both"/>
      </w:pPr>
    </w:p>
    <w:p w:rsidR="00CA2D55" w:rsidRDefault="00CA2D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97A" w:rsidRDefault="006C397A">
      <w:bookmarkStart w:id="57" w:name="_GoBack"/>
      <w:bookmarkEnd w:id="57"/>
    </w:p>
    <w:sectPr w:rsidR="006C397A" w:rsidSect="00A2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55"/>
    <w:rsid w:val="006C397A"/>
    <w:rsid w:val="00CA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E145-B6CC-4C50-906B-CBF4AC44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2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2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2D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EB716AC19F96DF3D6A6D8B84463523678DC740D415BE0572FC9D7CEA52BFE24B3671FB67F4A9FBEB93A1BDp7mEK" TargetMode="External"/><Relationship Id="rId18" Type="http://schemas.openxmlformats.org/officeDocument/2006/relationships/hyperlink" Target="consultantplus://offline/ref=E2EB716AC19F96DF3D6A729E81463523648AC843D418E30F7AA5917EED5DE0E74C2771FA6EEAA9FFFD9AF5EE3B231C4F3A0A2AFCC466F794p3m5K" TargetMode="External"/><Relationship Id="rId26" Type="http://schemas.openxmlformats.org/officeDocument/2006/relationships/hyperlink" Target="consultantplus://offline/ref=E2EB716AC19F96DF3D6A729E81463523678DCB47D316E30F7AA5917EED5DE0E74C2771FA6EEAA9FEF49AF5EE3B231C4F3A0A2AFCC466F794p3m5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E2EB716AC19F96DF3D6A729E81463523658BCC4FD218E30F7AA5917EED5DE0E74C2771FA6EEAA9FEF79AF5EE3B231C4F3A0A2AFCC466F794p3m5K" TargetMode="External"/><Relationship Id="rId34" Type="http://schemas.openxmlformats.org/officeDocument/2006/relationships/hyperlink" Target="consultantplus://offline/ref=E2EB716AC19F96DF3D6A729E81463523658ACB4ED01AE30F7AA5917EED5DE0E75E2729F66EE3B7FFF18FA3BF7Dp7m7K" TargetMode="External"/><Relationship Id="rId7" Type="http://schemas.openxmlformats.org/officeDocument/2006/relationships/hyperlink" Target="consultantplus://offline/ref=E2EB716AC19F96DF3D6A729E814635236589CA4FDA16E30F7AA5917EED5DE0E74C2771FA6EEAA9FEF59AF5EE3B231C4F3A0A2AFCC466F794p3m5K" TargetMode="External"/><Relationship Id="rId12" Type="http://schemas.openxmlformats.org/officeDocument/2006/relationships/hyperlink" Target="consultantplus://offline/ref=E2EB716AC19F96DF3D6A729E81463523658CC947D61DE30F7AA5917EED5DE0E74C2771FA6EEAA9FEF79AF5EE3B231C4F3A0A2AFCC466F794p3m5K" TargetMode="External"/><Relationship Id="rId17" Type="http://schemas.openxmlformats.org/officeDocument/2006/relationships/hyperlink" Target="consultantplus://offline/ref=E2EB716AC19F96DF3D6A6D8B84463523648ECC41D615BE0572FC9D7CEA52BFE24B3671FB67F4A9FBEB93A1BDp7mEK" TargetMode="External"/><Relationship Id="rId25" Type="http://schemas.openxmlformats.org/officeDocument/2006/relationships/hyperlink" Target="consultantplus://offline/ref=E2EB716AC19F96DF3D6A729E81463523658CC947D61DE30F7AA5917EED5DE0E74C2771FA6EEAA9FEF79AF5EE3B231C4F3A0A2AFCC466F794p3m5K" TargetMode="External"/><Relationship Id="rId33" Type="http://schemas.openxmlformats.org/officeDocument/2006/relationships/hyperlink" Target="consultantplus://offline/ref=E2EB716AC19F96DF3D6A729E81463523648ACA46D218E30F7AA5917EED5DE0E74C2771FA6EEAA9FEF79AF5EE3B231C4F3A0A2AFCC466F794p3m5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EB716AC19F96DF3D6A729E81463523658ECF4ED216E30F7AA5917EED5DE0E74C2771FA6EEAA9FFFD9AF5EE3B231C4F3A0A2AFCC466F794p3m5K" TargetMode="External"/><Relationship Id="rId20" Type="http://schemas.openxmlformats.org/officeDocument/2006/relationships/hyperlink" Target="consultantplus://offline/ref=E2EB716AC19F96DF3D6A729E81463523678DCB47D316E30F7AA5917EED5DE0E74C2771FA6EEAA9FEF49AF5EE3B231C4F3A0A2AFCC466F794p3m5K" TargetMode="External"/><Relationship Id="rId29" Type="http://schemas.openxmlformats.org/officeDocument/2006/relationships/hyperlink" Target="consultantplus://offline/ref=E2EB716AC19F96DF3D6A6D8B84463523678DC740D415BE0572FC9D7CEA52BFE24B3671FB67F4A9FBEB93A1BDp7m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EB716AC19F96DF3D6A729E81463523658ECA4FDA19E30F7AA5917EED5DE0E74C2771FA6EEAA8FAF39AF5EE3B231C4F3A0A2AFCC466F794p3m5K" TargetMode="External"/><Relationship Id="rId11" Type="http://schemas.openxmlformats.org/officeDocument/2006/relationships/hyperlink" Target="consultantplus://offline/ref=E2EB716AC19F96DF3D6A729E81463523658DCC46D71EE30F7AA5917EED5DE0E74C2771FA6EEAA9FEF19AF5EE3B231C4F3A0A2AFCC466F794p3m5K" TargetMode="External"/><Relationship Id="rId24" Type="http://schemas.openxmlformats.org/officeDocument/2006/relationships/hyperlink" Target="consultantplus://offline/ref=E2EB716AC19F96DF3D6A729E81463523658CC947D61DE30F7AA5917EED5DE0E74C2771FA6EEAA9FEF79AF5EE3B231C4F3A0A2AFCC466F794p3m5K" TargetMode="External"/><Relationship Id="rId32" Type="http://schemas.openxmlformats.org/officeDocument/2006/relationships/hyperlink" Target="consultantplus://offline/ref=E2EB716AC19F96DF3D6A729E81463523658BCC4FD218E30F7AA5917EED5DE0E74C2771FA6EEAA9FEF79AF5EE3B231C4F3A0A2AFCC466F794p3m5K" TargetMode="External"/><Relationship Id="rId37" Type="http://schemas.openxmlformats.org/officeDocument/2006/relationships/hyperlink" Target="consultantplus://offline/ref=E2EB716AC19F96DF3D6A729E81463523648CC742D519E30F7AA5917EED5DE0E74C2771FA6EEAACF7FC9AF5EE3B231C4F3A0A2AFCC466F794p3m5K" TargetMode="External"/><Relationship Id="rId5" Type="http://schemas.openxmlformats.org/officeDocument/2006/relationships/hyperlink" Target="consultantplus://offline/ref=E2EB716AC19F96DF3D6A729E81463523658ACB4ED01AE30F7AA5917EED5DE0E74C2771FA6EEAAEF6F69AF5EE3B231C4F3A0A2AFCC466F794p3m5K" TargetMode="External"/><Relationship Id="rId15" Type="http://schemas.openxmlformats.org/officeDocument/2006/relationships/hyperlink" Target="consultantplus://offline/ref=E2EB716AC19F96DF3D6A729E81463523678FC944D61FE30F7AA5917EED5DE0E74C2771FA6EEAA9FFFD9AF5EE3B231C4F3A0A2AFCC466F794p3m5K" TargetMode="External"/><Relationship Id="rId23" Type="http://schemas.openxmlformats.org/officeDocument/2006/relationships/hyperlink" Target="consultantplus://offline/ref=E2EB716AC19F96DF3D6A729E81463523658DCC46D71EE30F7AA5917EED5DE0E74C2771FA6EEAA9FEF19AF5EE3B231C4F3A0A2AFCC466F794p3m5K" TargetMode="External"/><Relationship Id="rId28" Type="http://schemas.openxmlformats.org/officeDocument/2006/relationships/hyperlink" Target="consultantplus://offline/ref=E2EB716AC19F96DF3D6A729E81463523658ECF4ED216E30F7AA5917EED5DE0E74C2771FA6EEAA9FFFD9AF5EE3B231C4F3A0A2AFCC466F794p3m5K" TargetMode="External"/><Relationship Id="rId36" Type="http://schemas.openxmlformats.org/officeDocument/2006/relationships/hyperlink" Target="consultantplus://offline/ref=E2EB716AC19F96DF3D6A718B984635236783CA4ED315BE0572FC9D7CEA52BFE24B3671FB67F4A9FBEB93A1BDp7mEK" TargetMode="External"/><Relationship Id="rId10" Type="http://schemas.openxmlformats.org/officeDocument/2006/relationships/hyperlink" Target="consultantplus://offline/ref=E2EB716AC19F96DF3D6A729E81463523658ACB4ED01AE30F7AA5917EED5DE0E75E2729F66EE3B7FFF18FA3BF7Dp7m7K" TargetMode="External"/><Relationship Id="rId19" Type="http://schemas.openxmlformats.org/officeDocument/2006/relationships/hyperlink" Target="consultantplus://offline/ref=E2EB716AC19F96DF3D6A729E81463523648ACA46D218E30F7AA5917EED5DE0E74C2771FA6EEAA9FEF79AF5EE3B231C4F3A0A2AFCC466F794p3m5K" TargetMode="External"/><Relationship Id="rId31" Type="http://schemas.openxmlformats.org/officeDocument/2006/relationships/hyperlink" Target="consultantplus://offline/ref=E2EB716AC19F96DF3D6A6D8B84463523648ECC41D615BE0572FC9D7CEA52BFE24B3671FB67F4A9FBEB93A1BDp7m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EB716AC19F96DF3D6A729E814635236589CA4FDA16E30F7AA5917EED5DE0E75E2729F66EE3B7FFF18FA3BF7Dp7m7K" TargetMode="External"/><Relationship Id="rId14" Type="http://schemas.openxmlformats.org/officeDocument/2006/relationships/hyperlink" Target="consultantplus://offline/ref=E2EB716AC19F96DF3D6A729E81463523658ECE4FD61EE30F7AA5917EED5DE0E74C2771FA6EEAA9FEF19AF5EE3B231C4F3A0A2AFCC466F794p3m5K" TargetMode="External"/><Relationship Id="rId22" Type="http://schemas.openxmlformats.org/officeDocument/2006/relationships/hyperlink" Target="consultantplus://offline/ref=E2EB716AC19F96DF3D6A729E81463523658CC947D61DE30F7AA5917EED5DE0E74C2771FA6EEAA9FEF79AF5EE3B231C4F3A0A2AFCC466F794p3m5K" TargetMode="External"/><Relationship Id="rId27" Type="http://schemas.openxmlformats.org/officeDocument/2006/relationships/hyperlink" Target="consultantplus://offline/ref=E2EB716AC19F96DF3D6A729E81463523658CC947D61DE30F7AA5917EED5DE0E74C2771FA6EEAA8FAF39AF5EE3B231C4F3A0A2AFCC466F794p3m5K" TargetMode="External"/><Relationship Id="rId30" Type="http://schemas.openxmlformats.org/officeDocument/2006/relationships/hyperlink" Target="consultantplus://offline/ref=E2EB716AC19F96DF3D6A729E81463523648AC843D418E30F7AA5917EED5DE0E74C2771FA6EEAA9FFFD9AF5EE3B231C4F3A0A2AFCC466F794p3m5K" TargetMode="External"/><Relationship Id="rId35" Type="http://schemas.openxmlformats.org/officeDocument/2006/relationships/hyperlink" Target="consultantplus://offline/ref=E2EB716AC19F96DF3D6A7B8786463523608AC740D11CE30F7AA5917EED5DE0E74C2771FA6EEAA9FEF19AF5EE3B231C4F3A0A2AFCC466F794p3m5K" TargetMode="External"/><Relationship Id="rId8" Type="http://schemas.openxmlformats.org/officeDocument/2006/relationships/hyperlink" Target="consultantplus://offline/ref=E2EB716AC19F96DF3D6A729E81463523648BCF4FD31CE30F7AA5917EED5DE0E75E2729F66EE3B7FFF18FA3BF7Dp7m7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7012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Кривошонок</dc:creator>
  <cp:keywords/>
  <dc:description/>
  <cp:lastModifiedBy>Виктор Кривошонок</cp:lastModifiedBy>
  <cp:revision>2</cp:revision>
  <dcterms:created xsi:type="dcterms:W3CDTF">2021-04-09T10:38:00Z</dcterms:created>
  <dcterms:modified xsi:type="dcterms:W3CDTF">2021-04-09T10:38:00Z</dcterms:modified>
</cp:coreProperties>
</file>