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B" w:rsidRDefault="00B343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43EB" w:rsidRDefault="00B343EB">
      <w:pPr>
        <w:pStyle w:val="ConsPlusNormal"/>
        <w:jc w:val="both"/>
        <w:outlineLvl w:val="0"/>
      </w:pPr>
    </w:p>
    <w:p w:rsidR="00B343EB" w:rsidRDefault="00B343EB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B343EB" w:rsidRDefault="00B343EB">
      <w:pPr>
        <w:pStyle w:val="ConsPlusTitle"/>
        <w:jc w:val="center"/>
      </w:pPr>
      <w:r>
        <w:t>ОБОРОНЫ, ЧРЕЗВЫЧАЙНЫМ СИТУАЦИЯМ И ЛИКВИДАЦИИ</w:t>
      </w:r>
    </w:p>
    <w:p w:rsidR="00B343EB" w:rsidRDefault="00B343EB">
      <w:pPr>
        <w:pStyle w:val="ConsPlusTitle"/>
        <w:jc w:val="center"/>
      </w:pPr>
      <w:r>
        <w:t>ПОСЛЕДСТВИЙ СТИХИЙНЫХ БЕДСТВИЙ</w:t>
      </w:r>
    </w:p>
    <w:p w:rsidR="00B343EB" w:rsidRDefault="00B343EB">
      <w:pPr>
        <w:pStyle w:val="ConsPlusTitle"/>
        <w:jc w:val="center"/>
      </w:pPr>
    </w:p>
    <w:p w:rsidR="00B343EB" w:rsidRDefault="00B343EB">
      <w:pPr>
        <w:pStyle w:val="ConsPlusTitle"/>
        <w:jc w:val="center"/>
      </w:pPr>
      <w:r>
        <w:t>ПРИКАЗ</w:t>
      </w:r>
    </w:p>
    <w:p w:rsidR="00B343EB" w:rsidRDefault="00B343EB">
      <w:pPr>
        <w:pStyle w:val="ConsPlusTitle"/>
        <w:jc w:val="center"/>
      </w:pPr>
      <w:r>
        <w:t>от 15 января 2020 г. N 14</w:t>
      </w:r>
    </w:p>
    <w:p w:rsidR="00B343EB" w:rsidRDefault="00B343EB">
      <w:pPr>
        <w:pStyle w:val="ConsPlusTitle"/>
        <w:jc w:val="center"/>
      </w:pPr>
    </w:p>
    <w:p w:rsidR="00B343EB" w:rsidRDefault="00B343EB">
      <w:pPr>
        <w:pStyle w:val="ConsPlusTitle"/>
        <w:jc w:val="center"/>
      </w:pPr>
      <w:r>
        <w:t>ОБ УТВЕРЖДЕНИИ СВОДА ПРАВИЛ</w:t>
      </w:r>
    </w:p>
    <w:p w:rsidR="00B343EB" w:rsidRDefault="00B343EB">
      <w:pPr>
        <w:pStyle w:val="ConsPlusTitle"/>
        <w:jc w:val="center"/>
      </w:pPr>
      <w:r>
        <w:t>"МНОГОФУНКЦИОНАЛЬНЫЕ ЗДАНИЯ. ТРЕБОВАНИЯ</w:t>
      </w:r>
    </w:p>
    <w:p w:rsidR="00B343EB" w:rsidRDefault="00B343EB">
      <w:pPr>
        <w:pStyle w:val="ConsPlusTitle"/>
        <w:jc w:val="center"/>
      </w:pPr>
      <w:r>
        <w:t>ПОЖАРНОЙ БЕЗОПАСНОСТИ"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2008 г. N 123-ФЗ "Технический регламент о требованиях пожарной безопасности" &lt;1&gt;,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 &lt;3&gt; приказываю: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30, ст. 3579; 2012, N 29, ст. 3997; 2013, N 27, ст. 3477; 2014, N 26, ст. 3366; 2015, N 29, ст. 4360; 2016, N 27, ст. 4234; 2017, N 31, ст. 4793; 2018, N 53, ст. 8464.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2004, N 28, ст. 2882; 2019, N 42, ст. 5891.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28, ст. 4749; 2019, N 23, ст. 2942.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ind w:firstLine="540"/>
        <w:jc w:val="both"/>
      </w:pPr>
      <w:r>
        <w:t xml:space="preserve">1. Утвердить и ввести в действие с 1 июля 2020 г. прилагаемый </w:t>
      </w:r>
      <w:hyperlink w:anchor="P35" w:history="1">
        <w:r>
          <w:rPr>
            <w:color w:val="0000FF"/>
          </w:rPr>
          <w:t>свод правил</w:t>
        </w:r>
      </w:hyperlink>
      <w:r>
        <w:t xml:space="preserve"> "Многофункциональные здания. Требования пожарной безопасности".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right"/>
      </w:pPr>
      <w:r>
        <w:t>Министр</w:t>
      </w:r>
    </w:p>
    <w:p w:rsidR="00B343EB" w:rsidRDefault="00B343EB">
      <w:pPr>
        <w:pStyle w:val="ConsPlusNormal"/>
        <w:jc w:val="right"/>
      </w:pPr>
      <w:r>
        <w:t>Е.Н.ЗИНИЧЕВ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right"/>
        <w:outlineLvl w:val="0"/>
      </w:pPr>
      <w:r>
        <w:t>Утвержден</w:t>
      </w:r>
    </w:p>
    <w:p w:rsidR="00B343EB" w:rsidRDefault="00B343EB">
      <w:pPr>
        <w:pStyle w:val="ConsPlusNormal"/>
        <w:jc w:val="right"/>
      </w:pPr>
      <w:r>
        <w:t>приказом МЧС России</w:t>
      </w:r>
    </w:p>
    <w:p w:rsidR="00B343EB" w:rsidRDefault="00B343EB">
      <w:pPr>
        <w:pStyle w:val="ConsPlusNormal"/>
        <w:jc w:val="right"/>
      </w:pPr>
      <w:r>
        <w:t>от 15.01.2020 N 14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343EB" w:rsidRDefault="00B343EB">
      <w:pPr>
        <w:pStyle w:val="ConsPlusTitle"/>
        <w:jc w:val="center"/>
      </w:pPr>
      <w:r>
        <w:t>ОБОРОНЫ, ЧРЕЗВЫЧАЙНЫМ СИТУАЦИЯМ И ЛИКВИДАЦИИ</w:t>
      </w:r>
    </w:p>
    <w:p w:rsidR="00B343EB" w:rsidRDefault="00B343EB">
      <w:pPr>
        <w:pStyle w:val="ConsPlusTitle"/>
        <w:jc w:val="center"/>
      </w:pPr>
      <w:r>
        <w:t>ПОСЛЕДСТВИЙ СТИХИЙНЫХ БЕДСТВИЙ</w:t>
      </w:r>
    </w:p>
    <w:p w:rsidR="00B343EB" w:rsidRDefault="00B343EB">
      <w:pPr>
        <w:pStyle w:val="ConsPlusTitle"/>
        <w:jc w:val="center"/>
      </w:pPr>
    </w:p>
    <w:p w:rsidR="00B343EB" w:rsidRDefault="00B343EB">
      <w:pPr>
        <w:pStyle w:val="ConsPlusTitle"/>
        <w:jc w:val="center"/>
      </w:pPr>
      <w:bookmarkStart w:id="0" w:name="P35"/>
      <w:bookmarkEnd w:id="0"/>
      <w:r>
        <w:t>СВОД ПРАВИЛ</w:t>
      </w:r>
    </w:p>
    <w:p w:rsidR="00B343EB" w:rsidRDefault="00B343EB">
      <w:pPr>
        <w:pStyle w:val="ConsPlusTitle"/>
        <w:jc w:val="center"/>
      </w:pPr>
    </w:p>
    <w:p w:rsidR="00B343EB" w:rsidRDefault="00B343EB">
      <w:pPr>
        <w:pStyle w:val="ConsPlusTitle"/>
        <w:jc w:val="center"/>
      </w:pPr>
      <w:r>
        <w:t>МНОГОФУНКЦИОНАЛЬНЫЕ ЗДАНИЯ</w:t>
      </w:r>
    </w:p>
    <w:p w:rsidR="00B343EB" w:rsidRDefault="00B343EB">
      <w:pPr>
        <w:pStyle w:val="ConsPlusTitle"/>
        <w:jc w:val="center"/>
      </w:pPr>
    </w:p>
    <w:p w:rsidR="00B343EB" w:rsidRDefault="00B343EB">
      <w:pPr>
        <w:pStyle w:val="ConsPlusTitle"/>
        <w:jc w:val="center"/>
      </w:pPr>
      <w:r>
        <w:lastRenderedPageBreak/>
        <w:t>ТРЕБОВАНИЯ ПОЖАРНОЙ БЕЗОПАСНОСТИ</w:t>
      </w:r>
    </w:p>
    <w:p w:rsidR="00B343EB" w:rsidRDefault="00B343EB">
      <w:pPr>
        <w:pStyle w:val="ConsPlusTitle"/>
        <w:jc w:val="center"/>
      </w:pPr>
    </w:p>
    <w:p w:rsidR="00B343EB" w:rsidRPr="00B343EB" w:rsidRDefault="00B343EB">
      <w:pPr>
        <w:pStyle w:val="ConsPlusTitle"/>
        <w:jc w:val="center"/>
        <w:rPr>
          <w:lang w:val="en-US"/>
        </w:rPr>
      </w:pPr>
      <w:r w:rsidRPr="00B343EB">
        <w:rPr>
          <w:lang w:val="en-US"/>
        </w:rPr>
        <w:t>Multi-functional buildings. Fire safety requirements</w:t>
      </w:r>
    </w:p>
    <w:p w:rsidR="00B343EB" w:rsidRPr="00B343EB" w:rsidRDefault="00B343EB">
      <w:pPr>
        <w:pStyle w:val="ConsPlusNormal"/>
        <w:jc w:val="both"/>
        <w:rPr>
          <w:lang w:val="en-US"/>
        </w:rPr>
      </w:pPr>
    </w:p>
    <w:p w:rsidR="00B343EB" w:rsidRDefault="00B343EB">
      <w:pPr>
        <w:pStyle w:val="ConsPlusNormal"/>
        <w:jc w:val="right"/>
      </w:pPr>
      <w:r>
        <w:t>Дата введения _____________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jc w:val="center"/>
        <w:outlineLvl w:val="1"/>
      </w:pPr>
      <w:r>
        <w:t>Предисловие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Федерации", правила применения сводов правил 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624 "Об утверждении Правил разработки, утверждения, опубликования, изменения и отмены сводов правил".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1. РАЗРАБОТАН И ВНЕСЕН федеральным государственным бюджетным учреждением "Всероссийский ордена "Знак Почета" научно-исследовательский институт противопожарной обороны" Министерства Российской Федерации по делам гражданской обороны, чрезвычайным ситуациям и ликвидации последствий стихийных бедствий" (ФГБУ ВНИИПО МЧС России).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2. УТВЕРЖДЕН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и введен в действие с 1 июля 2020 г.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3. ЗАРЕГИСТРИРОВАН Федеральным агентством по техническому регулированию и метрологии ______________.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 в информационно-телекоммуникационной сети "Интернет".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информационно-телекоммуникационной сети "Интернет" (www.gost.ru).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1. Область применения.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1.1. Настоящий свод правил устанавливает требования пожарной безопасности при проектировании, реконструкции, капитальном ремонте, изменении функционального назначения, эксплуатации, а также при техническом перевооружении многофункциональных зданий высотой не более 50 м, содержащих следующие помещения, части здания или пожарные отсеки в любой комбинации: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кинотеатры, концертные залы, выставки;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организации торговли и общественного питания, аптеки, помещения для посетителей организаций бытового и коммунального обслуживания с нерасчетным числом посадочных мест для посетителей, физкультурно-оздоровительные комплексы и спортивно-тренировочные учреждения с помещениями без трибун для зрителей;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lastRenderedPageBreak/>
        <w:t>- банки, конторы, офисы;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стоянки автомобилей;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гостиницы, апартаменты.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1.2. Настоящий свод правил не распространяется на проектирование и строительство временных и мобильных зданий и сооружений.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2. Нормативные ссылки.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В настоящем своде правил использованы нормативные ссылки на следующие стандарты и своды правил: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31565-2012</w:t>
        </w:r>
      </w:hyperlink>
      <w:r>
        <w:t>. Межгосударственный стандарт. Кабельные изделия. Требования пожарной безопасности (далее - ГОСТ 31565);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ГОСТ Р 53296-2009</w:t>
        </w:r>
      </w:hyperlink>
      <w:r>
        <w:t>. Установка лифтов для пожарных в зданиях и сооружениях. Требования пожарной безопасности (далее - ГОСТ Р 53296);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СП 1.13130.2009</w:t>
        </w:r>
      </w:hyperlink>
      <w:r>
        <w:t>. Системы противопожарной защиты. Эвакуационные пути и выходы (далее - СП 1.13130);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СП 2.13130.2012</w:t>
        </w:r>
      </w:hyperlink>
      <w:r>
        <w:t>. Системы противопожарной защиты. Обеспечение огнестойкости объектов защиты (далее - СП 2.13130);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СП 3.13130.2009</w:t>
        </w:r>
      </w:hyperlink>
      <w:r>
        <w:t>. Системы противопожарной защиты. Система оповещения и управления эвакуацией людей при пожаре. Требования пожарной безопасности (далее - СП 3.13130);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СП 4.13130.2013</w:t>
        </w:r>
      </w:hyperlink>
      <w:r>
        <w:t>.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(далее - СП 4.13130);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 5.13130.2009</w:t>
        </w:r>
      </w:hyperlink>
      <w:r>
        <w:t>. Системы противопожарной защиты. Установки пожарной сигнализации и пожаротушения автоматические. Нормы и правила проектирования (далее - СП 5.13130);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СП 6.13130.2013</w:t>
        </w:r>
      </w:hyperlink>
      <w:r>
        <w:t>. Системы противопожарной защиты. Электрооборудование. Требования пожарной безопасности (далее - СП 6.13130);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СП 7.13130.2013</w:t>
        </w:r>
      </w:hyperlink>
      <w:r>
        <w:t>. Отопление, вентиляция и кондиционирование. Требования пожарной безопасности;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СП 8.13130.2009</w:t>
        </w:r>
      </w:hyperlink>
      <w:r>
        <w:t>. Системы противопожарной защиты. Источники наружного противопожарного водоснабжения. Требования пожарной безопасности (далее - СП 8.13130);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СП 10.13130.2009</w:t>
        </w:r>
      </w:hyperlink>
      <w:r>
        <w:t>. Системы противопожарной защиты. Внутренний противопожарный водопровод. Требования пожарной безопасности (далее - СП 10.13130);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СП 59.13330.2016</w:t>
        </w:r>
      </w:hyperlink>
      <w:r>
        <w:t>. Доступность зданий и сооружений для маломобильных групп населения. Актуализированная редакция СНиП 35-01-2001 (далее - СП 59.13330);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СП 60.13330.2016</w:t>
        </w:r>
      </w:hyperlink>
      <w:r>
        <w:t>. Отопление, вентиляция и кондиционирование воздуха. Актуализированная редакция СНиП 41-01-2003;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СП 113.13330.2016</w:t>
        </w:r>
      </w:hyperlink>
      <w:r>
        <w:t>. Стоянки автомобилей. Актуализированная редакция СНиП 21-02-99*;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СП 118.13330.2012</w:t>
        </w:r>
      </w:hyperlink>
      <w:r>
        <w:t xml:space="preserve">. Общественные здания и сооружения. Актуализированная редакция СНиП </w:t>
      </w:r>
      <w:r>
        <w:lastRenderedPageBreak/>
        <w:t>31-06-2009 (далее - СП 118.13330);</w:t>
      </w:r>
    </w:p>
    <w:p w:rsidR="00B343EB" w:rsidRDefault="00B343E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СП 154.13130.2013</w:t>
        </w:r>
      </w:hyperlink>
      <w:r>
        <w:t>. Встроенные подземные автостоянки. Требования пожарной безопасности (далее - СП 154.13130).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Примечание - 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национального органа Российской Федерации по стандартизации в информационно-телекоммуникационной сети "Интернет"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3. Термины и определения.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В настоящем своде правил применены следующие термины с соответствующими определениями: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3.1. антресоль: Доступная площадка в объеме двусветного помещения, открытая в это помещение или расположенная в пределах этажа с повышенной высотой, размером менее 40% площади помещения, в котором она находится. Антресоль не является этажом.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3.2. атриум: Часть здания в виде </w:t>
      </w:r>
      <w:proofErr w:type="spellStart"/>
      <w:r>
        <w:t>многосветного</w:t>
      </w:r>
      <w:proofErr w:type="spellEnd"/>
      <w:r>
        <w:t xml:space="preserve"> пространства (три и более этажей), развитого по вертикали, смежного с поэтажными частями здания (галереями, ограждающими конструкциями помещений и т.п.), как правило, имеет верхнее освещение.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Атриум, развитый по горизонтали в виде </w:t>
      </w:r>
      <w:proofErr w:type="spellStart"/>
      <w:r>
        <w:t>многосветного</w:t>
      </w:r>
      <w:proofErr w:type="spellEnd"/>
      <w:r>
        <w:t xml:space="preserve"> прохода (при длине более высоты), называется пассажем.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3.3. высота атриума: Расстояние, определяемое максимальной разностью отметок пола нижнего этажа атриума и покрытия атриума или до верхней точки светового фонаря.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3.4. галерея атриума: Площадка с парапетом, служащая для сообщения между помещениями, выходящими в атриум. Галереи могут быть закрытыми и открытыми. Закрытые галереи отделяются от атриума сплошными, в том числе </w:t>
      </w:r>
      <w:proofErr w:type="spellStart"/>
      <w:r>
        <w:t>светопрозрачными</w:t>
      </w:r>
      <w:proofErr w:type="spellEnd"/>
      <w:r>
        <w:t xml:space="preserve"> конструкциями.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3.5. многофункциональное здание: Здание, включающее в свой состав два и более самостоятельных (с возможностью независимого использования) пожарных отсека или части здания различных классов функциональной пожарной опасности, взаимосвязанные друг с другом с помощью планировочных приемов (горизонтальными и/или вертикальными коммуникациями - проходами, переходами, лестницами, галереями и т.п.).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Примечание &lt;1&gt; - Здания, имеющие одно функциональное назначение, но включающее в свой состав части или помещения различных классов функциональной пожарной опасности, предусмотренные по процессу деятельности, а также для обслуживания основного функционального контингента и обеспечения эксплуатации объекта в соответствии с требованиями действующих нормативных документов по пожарной безопасности, к многофункциональным зданиям не относятся.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Примечание &lt;2&gt; - Здание, состоящее из пожарных отсеков, имеющих самостоятельные пути эвакуации, многофункциональным не является при условии, что каждый из этих отсеков имеет определенный класс функциональной пожарной опасности.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lastRenderedPageBreak/>
        <w:t>4. Требования к размещению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4.1. Противопожарные расстояния от многофункциональных зданий (далее - МФЗ) до соседних объектов защиты должны приниматься в соответствии с требованиями </w:t>
      </w:r>
      <w:hyperlink r:id="rId26" w:history="1">
        <w:r>
          <w:rPr>
            <w:color w:val="0000FF"/>
          </w:rPr>
          <w:t>СП 4.13130</w:t>
        </w:r>
      </w:hyperlink>
      <w:r>
        <w:t xml:space="preserve"> как к зданиям общественного назначения.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Пристраивание к МФЗ зданий, сооружений и помещений производственного, складского и технического назначения (автостоянок, котельных, трансформаторных подстанций и т.п.) допускается в случаях, установленных нормативными документами по пожарной безопасности, как к зданиям общественного назначения, при этом противопожарные расстояния до соседних объектов должны также соблюдаться и от указанных пристроек с учетом их пожарно-технической классификации.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4.2. Подъезд пожарных автомобилей должен быть обеспечен со всех сторон МФЗ. Параметры проездов для пожарной техники и мероприятия по обеспечению деятельности пожарных подразделений для МФЗ должны приниматься в соответствии с нормативными требованиями исходя из класса функциональной пожарной опасности пожарного отсека или части здания.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5. Требования к зданиям и пожарным отсекам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5.1. Допустимая высота (этажность) и площадь этажа в пределах пожарного отсека МФЗ в зависимости от степени огнестойкости и класса конструктивной пожарной опасности должны приниматься по </w:t>
      </w:r>
      <w:hyperlink r:id="rId27" w:history="1">
        <w:r>
          <w:rPr>
            <w:color w:val="0000FF"/>
          </w:rPr>
          <w:t>СП 2.13130</w:t>
        </w:r>
      </w:hyperlink>
      <w:r>
        <w:t xml:space="preserve"> исходя из минимальных значений (высоты (этажности) и площади этажа), предусмотренных для входящих в отсек частей различных классов функциональной пожарной опасности.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Допускается увеличивать площадь этажа в пределах пожарного отсека МФЗ I и II степеней огнестойкости класса конструктивной пожарной опасности С0 (за исключением стоянок автомобилей), указанную в </w:t>
      </w:r>
      <w:hyperlink r:id="rId28" w:history="1">
        <w:r>
          <w:rPr>
            <w:color w:val="0000FF"/>
          </w:rPr>
          <w:t>СП 2.13130</w:t>
        </w:r>
      </w:hyperlink>
      <w:r>
        <w:t xml:space="preserve"> на 100% при увеличении двукратно интенсивности орошения установками автоматического пожаротушения по сравнению с требованиями нормативных документов.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В МФЗ I и II степеней огнестойкости класса конструктивной пожарной опасности С0 вместо противопожарных стен допускается использование одного из способов или их комбинации: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- устройство водяных </w:t>
      </w:r>
      <w:proofErr w:type="spellStart"/>
      <w:r>
        <w:t>дренчерных</w:t>
      </w:r>
      <w:proofErr w:type="spellEnd"/>
      <w:r>
        <w:t xml:space="preserve"> завес в две нити, расположенных на расстоянии 0,5 м и обеспечивающих интенсивность орошения не менее 1 л/с на 1 м длины завес при времени работы не менее 1 ч, в сочетании с экранами из негорючих материалов и устройством зоны, свободной от пожарной нагрузки, шириной не менее 4 м в обе стороны от завес;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устройство противопожарных перегородок 1-го типа с устройством зоны, свободной от пожарной нагрузки, шириной не менее 2 м в обе стороны от преграды;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- устройство эвакуационных коридоров (коридоров безопасности), выделенных противопожарными перегородками 1-го типа на всю высоту этажа с подпором воздуха при пожаре.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5.2. Сообщение между пожарными отсеками по вертикали должно осуществляться через незадымляемые лестничные клетки, лифтовые шахты, защищенные приточной </w:t>
      </w:r>
      <w:proofErr w:type="spellStart"/>
      <w:r>
        <w:t>противодымной</w:t>
      </w:r>
      <w:proofErr w:type="spellEnd"/>
      <w:r>
        <w:t xml:space="preserve"> вентиляцией согласно требованиям </w:t>
      </w:r>
      <w:hyperlink r:id="rId29" w:history="1">
        <w:r>
          <w:rPr>
            <w:color w:val="0000FF"/>
          </w:rPr>
          <w:t>СП 7.13130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5.3. Мероприятия для обеспечения безопасности людей, относящихся к маломобильным группам населения, следует выполнять в соответствии с требованиями </w:t>
      </w:r>
      <w:hyperlink r:id="rId30" w:history="1">
        <w:r>
          <w:rPr>
            <w:color w:val="0000FF"/>
          </w:rPr>
          <w:t>СП 1.13130</w:t>
        </w:r>
      </w:hyperlink>
      <w:r>
        <w:t xml:space="preserve"> и </w:t>
      </w:r>
      <w:hyperlink r:id="rId31" w:history="1">
        <w:r>
          <w:rPr>
            <w:color w:val="0000FF"/>
          </w:rPr>
          <w:t>СП 59.13330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5.4. Размещать в МФЗ стоянки автомобилей следует в соответствии с требованиями </w:t>
      </w:r>
      <w:hyperlink r:id="rId32" w:history="1">
        <w:r>
          <w:rPr>
            <w:color w:val="0000FF"/>
          </w:rPr>
          <w:t>СП 4.13130</w:t>
        </w:r>
      </w:hyperlink>
      <w:r>
        <w:t xml:space="preserve">, </w:t>
      </w:r>
      <w:hyperlink r:id="rId33" w:history="1">
        <w:r>
          <w:rPr>
            <w:color w:val="0000FF"/>
          </w:rPr>
          <w:t>СП 154 13130</w:t>
        </w:r>
      </w:hyperlink>
      <w:r>
        <w:t xml:space="preserve">, </w:t>
      </w:r>
      <w:hyperlink r:id="rId34" w:history="1">
        <w:r>
          <w:rPr>
            <w:color w:val="0000FF"/>
          </w:rPr>
          <w:t>СП 113.13330</w:t>
        </w:r>
      </w:hyperlink>
      <w:r>
        <w:t>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lastRenderedPageBreak/>
        <w:t>6. Требования к объемно-планировочным и конструктивным решениям.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2"/>
      </w:pPr>
      <w:r>
        <w:t>6.1. Общие требования.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6.1.1. Помещения, рассчитанные на одновременное пребывание более 150 человек, следует размещать не ниже первого подземного (подвального) этажа (за исключением подземных автостоянок).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6.1.2. Размещаемые в МФЗ помещения складского назначения, помещения для инженерного оборудования и технического обслуживания с наличием пожароопасных технологических процессов (котельные, системы газоснабжения, электроснабжения и т.д.) следует проектировать в соответствии с требованиями </w:t>
      </w:r>
      <w:hyperlink r:id="rId35" w:history="1">
        <w:r>
          <w:rPr>
            <w:color w:val="0000FF"/>
          </w:rPr>
          <w:t>СП 4.13130</w:t>
        </w:r>
      </w:hyperlink>
      <w:r>
        <w:t xml:space="preserve"> и других нормативных документов по пожарной безопасности.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6.1.3. Размещение трансформаторных подстанций следует предусматривать на первом, цокольном или первом подземном этажах с выделением противопожарными преградами по </w:t>
      </w:r>
      <w:hyperlink w:anchor="P164" w:history="1">
        <w:r>
          <w:rPr>
            <w:color w:val="0000FF"/>
          </w:rPr>
          <w:t>[1]</w:t>
        </w:r>
      </w:hyperlink>
      <w:r>
        <w:t xml:space="preserve"> и выходом непосредственно наружу. Трансформаторы должны применяться только сухие или заполненные негорючими жидкостями.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6.1.4. В МФЗ I - III степени огнестойкости допускается предусматривать антресоли. Предел огнестойкости строительных конструкций антресоли должен составлять не менее R(EI) 45.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6.1.5. Площадь этажа в пределах пожарного отсека определяется с учетом площадей антресолей в помещениях этажа.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2"/>
      </w:pPr>
      <w:r>
        <w:t>6.2. Требования к атриумам.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6.2.1. Устройство атриумов допускается в зданиях и пожарных отсеках I и II степеней огнестойкости класса конструктивной пожарной опасности С0. Высота атриума не должна превышать допустимую высоту пожарного отсека, в котором он расположен.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6.2.2. Площадь этажа в пределах пожарного отсека с атриумом определяется путем суммирования площади нижнего этажа атриума и площадей галерей, переходов и помещений всех вышележащих этажей, расположенных в пределах объема </w:t>
      </w:r>
      <w:proofErr w:type="spellStart"/>
      <w:r>
        <w:t>атриумного</w:t>
      </w:r>
      <w:proofErr w:type="spellEnd"/>
      <w:r>
        <w:t xml:space="preserve"> пространства, ограниченного противопожарными перегородками 1-го типа 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светопрозрачными</w:t>
      </w:r>
      <w:proofErr w:type="spellEnd"/>
      <w:r>
        <w:t xml:space="preserve">). При отсутствии противопожарных перегородок 1-го типа, отделяющих </w:t>
      </w:r>
      <w:proofErr w:type="spellStart"/>
      <w:r>
        <w:t>атриумное</w:t>
      </w:r>
      <w:proofErr w:type="spellEnd"/>
      <w:r>
        <w:t xml:space="preserve"> пространство от примыкающих к нему помещений, коридоров, галерей, площадь этажа в пределах пожарного отсека определяется путем суммирования площадей соответствующих этажей.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Примечание - Вместо указанных противопожарных перегородок 1-го типа допускается применение </w:t>
      </w:r>
      <w:proofErr w:type="spellStart"/>
      <w:r>
        <w:t>светопрозрачного</w:t>
      </w:r>
      <w:proofErr w:type="spellEnd"/>
      <w:r>
        <w:t xml:space="preserve"> заполнения из закаленного стекла толщиной не менее 6 мм с защитой </w:t>
      </w:r>
      <w:proofErr w:type="spellStart"/>
      <w:r>
        <w:t>спринклерными</w:t>
      </w:r>
      <w:proofErr w:type="spellEnd"/>
      <w:r>
        <w:t xml:space="preserve"> оросителями системы автоматического пожаротушения с параметрами установок пожаротушения не менее чем по I группе помещений по </w:t>
      </w:r>
      <w:hyperlink r:id="rId36" w:history="1">
        <w:r>
          <w:rPr>
            <w:color w:val="0000FF"/>
          </w:rPr>
          <w:t>СП 5.13130</w:t>
        </w:r>
      </w:hyperlink>
      <w:r>
        <w:t>, расположенными со стороны защищаемых помещений на расстоянии не более 0,5 м от перегородок с шагом не более 2 м.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ind w:firstLine="540"/>
        <w:jc w:val="both"/>
      </w:pPr>
      <w:r>
        <w:t>Площадь атриума противопожарными преградами не разделяется.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6.2.3. </w:t>
      </w:r>
      <w:proofErr w:type="spellStart"/>
      <w:r>
        <w:t>Светопрозрачное</w:t>
      </w:r>
      <w:proofErr w:type="spellEnd"/>
      <w:r>
        <w:t xml:space="preserve"> заполнение в покрытии атриума следует выполнять из материалов группы горючести НГ, при этом конструкция такого покрытия должна быть выполнена из </w:t>
      </w:r>
      <w:proofErr w:type="spellStart"/>
      <w:r>
        <w:t>травмобезопасного</w:t>
      </w:r>
      <w:proofErr w:type="spellEnd"/>
      <w:r>
        <w:t xml:space="preserve"> армированного стекла или стекла типа "Триплекс". Допускается применение </w:t>
      </w:r>
      <w:proofErr w:type="spellStart"/>
      <w:r>
        <w:t>светопрозрачных</w:t>
      </w:r>
      <w:proofErr w:type="spellEnd"/>
      <w:r>
        <w:t xml:space="preserve"> материалов группы горючести не ниже Г1.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6.2.4. Высота атриума должна быть не более 28 м, при этом пол атриума не может быть ниже уровня земли более чем на 1 этаж.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lastRenderedPageBreak/>
        <w:t xml:space="preserve">6.2.5. Класс пожарной опасности отделочных и облицовочных материалов стен и покрытий полов атриума должны приниматься в соответствии с </w:t>
      </w:r>
      <w:hyperlink r:id="rId37" w:history="1">
        <w:r>
          <w:rPr>
            <w:color w:val="0000FF"/>
          </w:rPr>
          <w:t>таблицей 29</w:t>
        </w:r>
      </w:hyperlink>
      <w:r>
        <w:t xml:space="preserve"> </w:t>
      </w:r>
      <w:hyperlink w:anchor="P165" w:history="1">
        <w:r>
          <w:rPr>
            <w:color w:val="0000FF"/>
          </w:rPr>
          <w:t>[2]</w:t>
        </w:r>
      </w:hyperlink>
      <w:r>
        <w:t xml:space="preserve"> как для зального помещения исходя из наиболее высокого значения класса материала, предусмотренного для входящих в атриум частей различных классов функциональной пожарной опасности.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7. Требования к путям эвакуации и эвакуационным выходам.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7.1. Требования пожарной безопасности к путям эвакуации и эвакуационным выходам должны соответствовать </w:t>
      </w:r>
      <w:hyperlink r:id="rId38" w:history="1">
        <w:r>
          <w:rPr>
            <w:color w:val="0000FF"/>
          </w:rPr>
          <w:t>СП 1.13130</w:t>
        </w:r>
      </w:hyperlink>
      <w:r>
        <w:t xml:space="preserve"> применительно к части здания соответствующего класса функциональной пожарной опасности, кроме случаев, специально оговоренных настоящим сводом правил.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Допускается использовать общие лестничные клетки для эвакуации из различных частей здания, входящих в один пожарный отсек. Использовать общие лестничные клетки для эвакуации из нескольких пожарных отсеков не допускается.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Эвакуационные лестничные клетки в МФЗ должны иметь выходы непосредственно наружу.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Незадымляемые лестничные клетки типа Н2 и Н3 допускается проектировать без естественного освещения и взамен лестничных клеток типа Н1, независимо от этажности здания, при условии устройства в них эвакуационного (аварийного) освещения.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7.2. В пространстве атриума для сообщения между этажами допускается устраивать открытые лестницы, а также эскалаторы, </w:t>
      </w:r>
      <w:proofErr w:type="spellStart"/>
      <w:r>
        <w:t>траволаторы</w:t>
      </w:r>
      <w:proofErr w:type="spellEnd"/>
      <w:r>
        <w:t xml:space="preserve"> и лифты. Открытые лестницы в атриуме при эвакуации не учитываются.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7.3. Помещения, выходящие в атриум, должны иметь не менее двух путей эвакуации по горизонтальному проходу (галерее). Протяженность прохода должна быть не более 60 м.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7.4. Проход через атриум из помещений, не выходящих в атриум, путем эвакуации не считается.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7.5. Помещения класса функциональной пожарной опасности Ф2.1, а также помещения организаций, предусматривающие возможное пребывание детей без сопровождения родителей, должны располагаться не выше 3-го этажа и иметь не менее двух эвакуационных выходов, ведущих на разные пути эвакуации. Один из этих эвакуационных выходов должен вести непосредственно наружу, либо в незадымляемую лестничную клетку, ведущую непосредственно наружу, или в коридор, выделенный от примыкающих помещений противопожарными перегородками 1-го типа, ведущий непосредственно наружу или в незадымляемую лестничную клетку. Длина эвакуационного пути по коридору не должна превышать 15 м. Размещение указанных помещений и зон на антресолях не допускается.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7.6. Антресоль должна иметь не менее двух рассредоточенных эвакуационных выходов. Допускается предусматривать для эвакуации с антресоли лестницы 2-го типа.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7.7. Количество эвакуационных выходов из помещения, где располагается антресоль, следует определять по </w:t>
      </w:r>
      <w:hyperlink r:id="rId39" w:history="1">
        <w:r>
          <w:rPr>
            <w:color w:val="0000FF"/>
          </w:rPr>
          <w:t>СП 1.13130</w:t>
        </w:r>
      </w:hyperlink>
      <w:r>
        <w:t xml:space="preserve"> с учетом количества людей на антресоли, но принимать не менее двух.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7.8. Наибольшее расстояние от любой точки антресоли до ближайшего эвакуационного выхода из части здания, в котором она расположена, следует принимать в соответствии с требованиями </w:t>
      </w:r>
      <w:hyperlink r:id="rId40" w:history="1">
        <w:r>
          <w:rPr>
            <w:color w:val="0000FF"/>
          </w:rPr>
          <w:t>СП 1.13130</w:t>
        </w:r>
      </w:hyperlink>
      <w:r>
        <w:t xml:space="preserve"> исходя из наименьшего значения, предусмотренного для части здания или пожарного отсека соответствующего класса функциональной пожарной опасности. При этом в длину пути эвакуации включается длина пути по лестнице 2-го типа.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7.9. Лестничные клетки, предназначенные для сообщения между подземными и надземными частями здания, должны быть выполнены незадымляемыми. Перед входом в данные лестничные </w:t>
      </w:r>
      <w:r>
        <w:lastRenderedPageBreak/>
        <w:t>клетки в уровне подземных этажей необходимо предусматривать тамбур-шлюзы 1-го типа с подпором воздуха при пожаре.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8. Требования к системам противопожарной защиты.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8.1. Системы противопожарной защиты для пожарных отсеков, частей здания, помещений следует предусматривать исходя из их классов функциональной пожарной опасности в соответствии с требованиями действующих нормативных документов по пожарной безопасности, кроме случаев, специально оговоренных настоящим сводом правил.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8.2. Число пожарных стволов, расход воды на внутреннее и наружное пожаротушение МФЗ (за исключением стоянок автомобилей) следует принимать по </w:t>
      </w:r>
      <w:hyperlink r:id="rId41" w:history="1">
        <w:r>
          <w:rPr>
            <w:color w:val="0000FF"/>
          </w:rPr>
          <w:t>СП 10.13130</w:t>
        </w:r>
      </w:hyperlink>
      <w:r>
        <w:t xml:space="preserve"> и </w:t>
      </w:r>
      <w:hyperlink r:id="rId42" w:history="1">
        <w:r>
          <w:rPr>
            <w:color w:val="0000FF"/>
          </w:rPr>
          <w:t>СП 8.13130</w:t>
        </w:r>
      </w:hyperlink>
      <w:r>
        <w:t xml:space="preserve"> исходя из наибольшего значения, предусмотренного для части здания или пожарного отсека соответствующего класса функциональной пожарной опасности.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8.3. МФЗ (за исключением стоянок автомобилей) должно оборудоваться системой оповещения и управления эвакуацией при пожаре не ниже 4-го типа по </w:t>
      </w:r>
      <w:hyperlink r:id="rId43" w:history="1">
        <w:r>
          <w:rPr>
            <w:color w:val="0000FF"/>
          </w:rPr>
          <w:t>СП 3.13130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8.4. МФЗ должно быть оснащено адресно-аналоговой системой пожарной сигнализации.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8.5. МФЗ подлежит обязательному оборудованию автоматическими установками пожаротушения.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8.6. МФЗ должно быть оборудовано помещением пожарного поста в соответствии с </w:t>
      </w:r>
      <w:hyperlink r:id="rId44" w:history="1">
        <w:r>
          <w:rPr>
            <w:color w:val="0000FF"/>
          </w:rPr>
          <w:t>СП 5.13130</w:t>
        </w:r>
      </w:hyperlink>
      <w:r>
        <w:t xml:space="preserve">, </w:t>
      </w:r>
      <w:hyperlink r:id="rId45" w:history="1">
        <w:r>
          <w:rPr>
            <w:color w:val="0000FF"/>
          </w:rPr>
          <w:t>СП 10.13130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>8.7. В качестве систем пожаротушения атриумов необходимо предусматривать автоматические установки водяного пожаротушения.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В пространстве атриума </w:t>
      </w:r>
      <w:proofErr w:type="spellStart"/>
      <w:r>
        <w:t>спринклерные</w:t>
      </w:r>
      <w:proofErr w:type="spellEnd"/>
      <w:r>
        <w:t xml:space="preserve"> оросители допускается устанавливать не в покрытии атриума, а под выступающими конструкциями (балконами, перекрытиями и др.), с обеспечением требуемой карты орошения.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8.8. В МФЗ высотой три и более этажей следует предусматривать на каждый пожарный отсек не менее одного лифта для транспортирования пожарных подразделений согласно </w:t>
      </w:r>
      <w:hyperlink r:id="rId46" w:history="1">
        <w:r>
          <w:rPr>
            <w:color w:val="0000FF"/>
          </w:rPr>
          <w:t>ГОСТ Р 53296</w:t>
        </w:r>
      </w:hyperlink>
      <w:r>
        <w:t>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9. Требования к электрооборудованию.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9.1. Системы электроснабжения и электрооборудование должны соответствовать требованиям </w:t>
      </w:r>
      <w:hyperlink w:anchor="P164" w:history="1">
        <w:r>
          <w:rPr>
            <w:color w:val="0000FF"/>
          </w:rPr>
          <w:t>[1]</w:t>
        </w:r>
      </w:hyperlink>
      <w:r>
        <w:t xml:space="preserve">, </w:t>
      </w:r>
      <w:hyperlink r:id="rId47" w:history="1">
        <w:r>
          <w:rPr>
            <w:color w:val="0000FF"/>
          </w:rPr>
          <w:t>СП 6.13130</w:t>
        </w:r>
      </w:hyperlink>
      <w:r>
        <w:t xml:space="preserve"> и </w:t>
      </w:r>
      <w:hyperlink r:id="rId48" w:history="1">
        <w:r>
          <w:rPr>
            <w:color w:val="0000FF"/>
          </w:rPr>
          <w:t>ГОСТ 31565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9.2. Устройство </w:t>
      </w:r>
      <w:proofErr w:type="spellStart"/>
      <w:r>
        <w:t>молниезащиты</w:t>
      </w:r>
      <w:proofErr w:type="spellEnd"/>
      <w:r>
        <w:t xml:space="preserve"> и заземления объекта предусматривать согласно требованиям </w:t>
      </w:r>
      <w:hyperlink w:anchor="P166" w:history="1">
        <w:r>
          <w:rPr>
            <w:color w:val="0000FF"/>
          </w:rPr>
          <w:t>[3]</w:t>
        </w:r>
      </w:hyperlink>
      <w:r>
        <w:t>.</w:t>
      </w:r>
    </w:p>
    <w:p w:rsidR="00B343EB" w:rsidRDefault="00B343EB">
      <w:pPr>
        <w:pStyle w:val="ConsPlusNormal"/>
        <w:spacing w:before="220"/>
        <w:ind w:firstLine="540"/>
        <w:jc w:val="both"/>
      </w:pPr>
      <w:r>
        <w:t xml:space="preserve">9.3. Электроснабжение технических средств систем противопожарной защиты МФЗ должно предусматриваться по первой категории </w:t>
      </w:r>
      <w:proofErr w:type="spellStart"/>
      <w:r>
        <w:t>электроприемников</w:t>
      </w:r>
      <w:proofErr w:type="spellEnd"/>
      <w:r>
        <w:t xml:space="preserve"> по надежности электроснабжения.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Title"/>
        <w:ind w:firstLine="540"/>
        <w:jc w:val="both"/>
        <w:outlineLvl w:val="1"/>
      </w:pPr>
      <w:r>
        <w:t>Библиография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ind w:firstLine="540"/>
        <w:jc w:val="both"/>
      </w:pPr>
      <w:bookmarkStart w:id="1" w:name="P164"/>
      <w:bookmarkEnd w:id="1"/>
      <w:r>
        <w:t>[1] ПУЭ Правила устройства электроустановок, издание 7.</w:t>
      </w:r>
    </w:p>
    <w:p w:rsidR="00B343EB" w:rsidRDefault="00B343EB">
      <w:pPr>
        <w:pStyle w:val="ConsPlusNormal"/>
        <w:spacing w:before="220"/>
        <w:ind w:firstLine="540"/>
        <w:jc w:val="both"/>
      </w:pPr>
      <w:bookmarkStart w:id="2" w:name="P165"/>
      <w:bookmarkEnd w:id="2"/>
      <w:r>
        <w:t xml:space="preserve">[2]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безопасности".</w:t>
      </w:r>
    </w:p>
    <w:p w:rsidR="00B343EB" w:rsidRDefault="00B343EB">
      <w:pPr>
        <w:pStyle w:val="ConsPlusNormal"/>
        <w:spacing w:before="220"/>
        <w:ind w:firstLine="540"/>
        <w:jc w:val="both"/>
      </w:pPr>
      <w:bookmarkStart w:id="3" w:name="P166"/>
      <w:bookmarkEnd w:id="3"/>
      <w:r>
        <w:t xml:space="preserve">[3] </w:t>
      </w:r>
      <w:hyperlink r:id="rId50" w:history="1">
        <w:r>
          <w:rPr>
            <w:color w:val="0000FF"/>
          </w:rPr>
          <w:t>СО 153-34.21.122-2003</w:t>
        </w:r>
      </w:hyperlink>
      <w:r>
        <w:t xml:space="preserve"> 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 коммуникаций.</w:t>
      </w: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jc w:val="both"/>
      </w:pPr>
    </w:p>
    <w:p w:rsidR="00B343EB" w:rsidRDefault="00B34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97A" w:rsidRDefault="006C397A">
      <w:bookmarkStart w:id="4" w:name="_GoBack"/>
      <w:bookmarkEnd w:id="4"/>
    </w:p>
    <w:sectPr w:rsidR="006C397A" w:rsidSect="00C8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B"/>
    <w:rsid w:val="006C397A"/>
    <w:rsid w:val="00B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3F9E-62F7-4A0B-82AB-A03ADF7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8EA3A4395D5DE32698BD75904176C17FA55CBFE326B844792D4C70D110D792366928A45824433DD3762749C83423E333B254ABF6259E21h5i0K" TargetMode="External"/><Relationship Id="rId18" Type="http://schemas.openxmlformats.org/officeDocument/2006/relationships/hyperlink" Target="consultantplus://offline/ref=8A8EA3A4395D5DE32698BD75904176C17DA559B4E42BB844792D4C70D110D792366928A45824433CDB762749C83423E333B254ABF6259E21h5i0K" TargetMode="External"/><Relationship Id="rId26" Type="http://schemas.openxmlformats.org/officeDocument/2006/relationships/hyperlink" Target="consultantplus://offline/ref=8A8EA3A4395D5DE32698BD75904176C17DA558B8ED27B844792D4C70D110D792366928A45824433CD1762749C83423E333B254ABF6259E21h5i0K" TargetMode="External"/><Relationship Id="rId39" Type="http://schemas.openxmlformats.org/officeDocument/2006/relationships/hyperlink" Target="consultantplus://offline/ref=8A8EA3A4395D5DE32698BD75904176C17FA050B5ED27B844792D4C70D110D792246970A8582D5D3CD76371188Eh6i0K" TargetMode="External"/><Relationship Id="rId21" Type="http://schemas.openxmlformats.org/officeDocument/2006/relationships/hyperlink" Target="consultantplus://offline/ref=8A8EA3A4395D5DE32698A260954176C17CA05EBFED28E54E71744072D61F8897317828A5513A4338CD7F731Ah8iDK" TargetMode="External"/><Relationship Id="rId34" Type="http://schemas.openxmlformats.org/officeDocument/2006/relationships/hyperlink" Target="consultantplus://offline/ref=8A8EA3A4395D5DE32698A260954176C17CA451BAEC28E54E71744072D61F8897317828A5513A4338CD7F731Ah8iDK" TargetMode="External"/><Relationship Id="rId42" Type="http://schemas.openxmlformats.org/officeDocument/2006/relationships/hyperlink" Target="consultantplus://offline/ref=8A8EA3A4395D5DE32698BD75904176C17FA050B5ED20B844792D4C70D110D792246970A8582D5D3CD76371188Eh6i0K" TargetMode="External"/><Relationship Id="rId47" Type="http://schemas.openxmlformats.org/officeDocument/2006/relationships/hyperlink" Target="consultantplus://offline/ref=8A8EA3A4395D5DE32698BD75904176C17FA45FBEE022B844792D4C70D110D792366928A45824433CDB762749C83423E333B254ABF6259E21h5i0K" TargetMode="External"/><Relationship Id="rId50" Type="http://schemas.openxmlformats.org/officeDocument/2006/relationships/hyperlink" Target="consultantplus://offline/ref=8A8EA3A4395D5DE32698BD75904176C176A050BFE328E54E71744072D61F8885312024A55824433ED829225CD96C2EEA24AC50B1EA279Ch2i2K" TargetMode="External"/><Relationship Id="rId7" Type="http://schemas.openxmlformats.org/officeDocument/2006/relationships/hyperlink" Target="consultantplus://offline/ref=8A8EA3A4395D5DE32698BD75904176C17DA25CB5EC2BB844792D4C70D110D792366928A45824433DD3762749C83423E333B254ABF6259E21h5i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8EA3A4395D5DE32698BD75904176C17FA15CB8EC25B844792D4C70D110D792246970A8582D5D3CD76371188Eh6i0K" TargetMode="External"/><Relationship Id="rId29" Type="http://schemas.openxmlformats.org/officeDocument/2006/relationships/hyperlink" Target="consultantplus://offline/ref=8A8EA3A4395D5DE32698BD75904176C17DA559B4E42BB844792D4C70D110D792366928A45824433CDB762749C83423E333B254ABF6259E21h5i0K" TargetMode="External"/><Relationship Id="rId11" Type="http://schemas.openxmlformats.org/officeDocument/2006/relationships/hyperlink" Target="consultantplus://offline/ref=8A8EA3A4395D5DE32698A260954176C17FA158BDED28E54E71744072D61F8897317828A5513A4338CD7F731Ah8iDK" TargetMode="External"/><Relationship Id="rId24" Type="http://schemas.openxmlformats.org/officeDocument/2006/relationships/hyperlink" Target="consultantplus://offline/ref=8A8EA3A4395D5DE32698A260954176C17CA450BDE028E54E71744072D61F8897317828A5513A4338CD7F731Ah8iDK" TargetMode="External"/><Relationship Id="rId32" Type="http://schemas.openxmlformats.org/officeDocument/2006/relationships/hyperlink" Target="consultantplus://offline/ref=8A8EA3A4395D5DE32698BD75904176C17DA558B8ED27B844792D4C70D110D792366928A45824433CD1762749C83423E333B254ABF6259E21h5i0K" TargetMode="External"/><Relationship Id="rId37" Type="http://schemas.openxmlformats.org/officeDocument/2006/relationships/hyperlink" Target="consultantplus://offline/ref=8A8EA3A4395D5DE32698BD75904176C17DA15DB4E627B844792D4C70D110D792366928A458264135DA762749C83423E333B254ABF6259E21h5i0K" TargetMode="External"/><Relationship Id="rId40" Type="http://schemas.openxmlformats.org/officeDocument/2006/relationships/hyperlink" Target="consultantplus://offline/ref=8A8EA3A4395D5DE32698BD75904176C17FA050B5ED27B844792D4C70D110D792246970A8582D5D3CD76371188Eh6i0K" TargetMode="External"/><Relationship Id="rId45" Type="http://schemas.openxmlformats.org/officeDocument/2006/relationships/hyperlink" Target="consultantplus://offline/ref=8A8EA3A4395D5DE32698BD75904176C17FA050B5E727B844792D4C70D110D792246970A8582D5D3CD76371188Eh6i0K" TargetMode="External"/><Relationship Id="rId5" Type="http://schemas.openxmlformats.org/officeDocument/2006/relationships/hyperlink" Target="consultantplus://offline/ref=8A8EA3A4395D5DE32698BD75904176C17DA15DB4E627B844792D4C70D110D792366928A458244038D6762749C83423E333B254ABF6259E21h5i0K" TargetMode="External"/><Relationship Id="rId15" Type="http://schemas.openxmlformats.org/officeDocument/2006/relationships/hyperlink" Target="consultantplus://offline/ref=8A8EA3A4395D5DE32698BD75904176C17DA558B8ED27B844792D4C70D110D792366928A45824433CD1762749C83423E333B254ABF6259E21h5i0K" TargetMode="External"/><Relationship Id="rId23" Type="http://schemas.openxmlformats.org/officeDocument/2006/relationships/hyperlink" Target="consultantplus://offline/ref=8A8EA3A4395D5DE32698A260954176C17CA451BAEC28E54E71744072D61F8897317828A5513A4338CD7F731Ah8iDK" TargetMode="External"/><Relationship Id="rId28" Type="http://schemas.openxmlformats.org/officeDocument/2006/relationships/hyperlink" Target="consultantplus://offline/ref=8A8EA3A4395D5DE32698BD75904176C17FA55CBFE326B844792D4C70D110D792366928A45824433DD3762749C83423E333B254ABF6259E21h5i0K" TargetMode="External"/><Relationship Id="rId36" Type="http://schemas.openxmlformats.org/officeDocument/2006/relationships/hyperlink" Target="consultantplus://offline/ref=8A8EA3A4395D5DE32698BD75904176C17FA15CB8EC25B844792D4C70D110D792246970A8582D5D3CD76371188Eh6i0K" TargetMode="External"/><Relationship Id="rId49" Type="http://schemas.openxmlformats.org/officeDocument/2006/relationships/hyperlink" Target="consultantplus://offline/ref=8A8EA3A4395D5DE32698BD75904176C17DA15DB4E627B844792D4C70D110D792246970A8582D5D3CD76371188Eh6i0K" TargetMode="External"/><Relationship Id="rId10" Type="http://schemas.openxmlformats.org/officeDocument/2006/relationships/hyperlink" Target="consultantplus://offline/ref=8A8EA3A4395D5DE32698A260954176C17FA651B9E428E54E71744072D61F8897317828A5513A4338CD7F731Ah8iDK" TargetMode="External"/><Relationship Id="rId19" Type="http://schemas.openxmlformats.org/officeDocument/2006/relationships/hyperlink" Target="consultantplus://offline/ref=8A8EA3A4395D5DE32698BD75904176C17FA050B5ED20B844792D4C70D110D792246970A8582D5D3CD76371188Eh6i0K" TargetMode="External"/><Relationship Id="rId31" Type="http://schemas.openxmlformats.org/officeDocument/2006/relationships/hyperlink" Target="consultantplus://offline/ref=8A8EA3A4395D5DE32698A260954176C17CA05EBFED28E54E71744072D61F8897317828A5513A4338CD7F731Ah8iDK" TargetMode="External"/><Relationship Id="rId44" Type="http://schemas.openxmlformats.org/officeDocument/2006/relationships/hyperlink" Target="consultantplus://offline/ref=8A8EA3A4395D5DE32698BD75904176C17FA15CB8EC25B844792D4C70D110D792246970A8582D5D3CD76371188Eh6i0K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8EA3A4395D5DE32698BD75904176C17DA25CB5EC2BB844792D4C70D110D792366928A45824433DD3762749C83423E333B254ABF6259E21h5i0K" TargetMode="External"/><Relationship Id="rId14" Type="http://schemas.openxmlformats.org/officeDocument/2006/relationships/hyperlink" Target="consultantplus://offline/ref=8A8EA3A4395D5DE32698BD75904176C176A85BB8E628E54E71744072D61F8897317828A5513A4338CD7F731Ah8iDK" TargetMode="External"/><Relationship Id="rId22" Type="http://schemas.openxmlformats.org/officeDocument/2006/relationships/hyperlink" Target="consultantplus://offline/ref=8A8EA3A4395D5DE32698A260954176C17CA35EB4E428E54E71744072D61F8897317828A5513A4338CD7F731Ah8iDK" TargetMode="External"/><Relationship Id="rId27" Type="http://schemas.openxmlformats.org/officeDocument/2006/relationships/hyperlink" Target="consultantplus://offline/ref=8A8EA3A4395D5DE32698BD75904176C17FA55CBFE326B844792D4C70D110D792366928A45824433DD3762749C83423E333B254ABF6259E21h5i0K" TargetMode="External"/><Relationship Id="rId30" Type="http://schemas.openxmlformats.org/officeDocument/2006/relationships/hyperlink" Target="consultantplus://offline/ref=8A8EA3A4395D5DE32698BD75904176C17FA050B5ED27B844792D4C70D110D792246970A8582D5D3CD76371188Eh6i0K" TargetMode="External"/><Relationship Id="rId35" Type="http://schemas.openxmlformats.org/officeDocument/2006/relationships/hyperlink" Target="consultantplus://offline/ref=8A8EA3A4395D5DE32698BD75904176C17DA558B8ED27B844792D4C70D110D792366928A45824433CD1762749C83423E333B254ABF6259E21h5i0K" TargetMode="External"/><Relationship Id="rId43" Type="http://schemas.openxmlformats.org/officeDocument/2006/relationships/hyperlink" Target="consultantplus://offline/ref=8A8EA3A4395D5DE32698BD75904176C176A85BB8E628E54E71744072D61F8897317828A5513A4338CD7F731Ah8iDK" TargetMode="External"/><Relationship Id="rId48" Type="http://schemas.openxmlformats.org/officeDocument/2006/relationships/hyperlink" Target="consultantplus://offline/ref=8A8EA3A4395D5DE32698A260954176C17FA651B9E428E54E71744072D61F8897317828A5513A4338CD7F731Ah8iDK" TargetMode="External"/><Relationship Id="rId8" Type="http://schemas.openxmlformats.org/officeDocument/2006/relationships/hyperlink" Target="consultantplus://offline/ref=8A8EA3A4395D5DE32698BD75904176C17CA059B5E521B844792D4C70D110D792246970A8582D5D3CD76371188Eh6i0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8EA3A4395D5DE32698BD75904176C17FA050B5ED27B844792D4C70D110D792246970A8582D5D3CD76371188Eh6i0K" TargetMode="External"/><Relationship Id="rId17" Type="http://schemas.openxmlformats.org/officeDocument/2006/relationships/hyperlink" Target="consultantplus://offline/ref=8A8EA3A4395D5DE32698BD75904176C17FA45FBEE022B844792D4C70D110D792366928A45824433CDB762749C83423E333B254ABF6259E21h5i0K" TargetMode="External"/><Relationship Id="rId25" Type="http://schemas.openxmlformats.org/officeDocument/2006/relationships/hyperlink" Target="consultantplus://offline/ref=8A8EA3A4395D5DE32698BD75904176C17FA45DB8E127B844792D4C70D110D792366928A45824433CD4762749C83423E333B254ABF6259E21h5i0K" TargetMode="External"/><Relationship Id="rId33" Type="http://schemas.openxmlformats.org/officeDocument/2006/relationships/hyperlink" Target="consultantplus://offline/ref=8A8EA3A4395D5DE32698BD75904176C17FA45DB8E127B844792D4C70D110D792366928A45824433CD4762749C83423E333B254ABF6259E21h5i0K" TargetMode="External"/><Relationship Id="rId38" Type="http://schemas.openxmlformats.org/officeDocument/2006/relationships/hyperlink" Target="consultantplus://offline/ref=8A8EA3A4395D5DE32698BD75904176C17FA050B5ED27B844792D4C70D110D792246970A8582D5D3CD76371188Eh6i0K" TargetMode="External"/><Relationship Id="rId46" Type="http://schemas.openxmlformats.org/officeDocument/2006/relationships/hyperlink" Target="consultantplus://offline/ref=8A8EA3A4395D5DE32698A260954176C17FA158BDED28E54E71744072D61F8897317828A5513A4338CD7F731Ah8iDK" TargetMode="External"/><Relationship Id="rId20" Type="http://schemas.openxmlformats.org/officeDocument/2006/relationships/hyperlink" Target="consultantplus://offline/ref=8A8EA3A4395D5DE32698BD75904176C17FA050B5E727B844792D4C70D110D792246970A8582D5D3CD76371188Eh6i0K" TargetMode="External"/><Relationship Id="rId41" Type="http://schemas.openxmlformats.org/officeDocument/2006/relationships/hyperlink" Target="consultantplus://offline/ref=8A8EA3A4395D5DE32698BD75904176C17FA050B5E727B844792D4C70D110D792246970A8582D5D3CD76371188Eh6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EA3A4395D5DE32698BD75904176C17DA55CB5EC24B844792D4C70D110D792366928A458244239D5762749C83423E333B254ABF6259E21h5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2021-04-09T10:34:00Z</dcterms:created>
  <dcterms:modified xsi:type="dcterms:W3CDTF">2021-04-09T10:34:00Z</dcterms:modified>
</cp:coreProperties>
</file>